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1E" w:rsidRDefault="00EE291E" w:rsidP="00EE291E">
      <w:pPr>
        <w:tabs>
          <w:tab w:val="left" w:pos="3150"/>
        </w:tabs>
        <w:spacing w:after="0" w:line="240" w:lineRule="auto"/>
        <w:jc w:val="center"/>
        <w:rPr>
          <w:rFonts w:ascii="Minion Pro" w:hAnsi="Minion Pro"/>
          <w:b/>
          <w:bCs/>
        </w:rPr>
      </w:pPr>
      <w:r>
        <w:rPr>
          <w:rFonts w:ascii="Minion Pro" w:hAnsi="Minion Pro"/>
          <w:b/>
          <w:bCs/>
        </w:rPr>
        <w:t>Indonesian to French translation</w:t>
      </w:r>
    </w:p>
    <w:p w:rsidR="00EE291E" w:rsidRDefault="00EE291E" w:rsidP="00EE291E">
      <w:pPr>
        <w:tabs>
          <w:tab w:val="left" w:pos="3150"/>
        </w:tabs>
        <w:spacing w:after="0" w:line="240" w:lineRule="auto"/>
        <w:jc w:val="center"/>
        <w:rPr>
          <w:rFonts w:ascii="Minion Pro" w:hAnsi="Minion Pro"/>
          <w:b/>
          <w:bCs/>
        </w:rPr>
      </w:pPr>
      <w:bookmarkStart w:id="0" w:name="_GoBack"/>
      <w:bookmarkEnd w:id="0"/>
    </w:p>
    <w:p w:rsidR="00EE291E" w:rsidRDefault="00EE291E" w:rsidP="00EE291E">
      <w:pPr>
        <w:tabs>
          <w:tab w:val="left" w:pos="3150"/>
        </w:tabs>
        <w:spacing w:after="0" w:line="240" w:lineRule="auto"/>
        <w:jc w:val="center"/>
        <w:rPr>
          <w:rFonts w:ascii="Minion Pro" w:hAnsi="Minion Pro"/>
          <w:b/>
          <w:bCs/>
        </w:rPr>
      </w:pPr>
    </w:p>
    <w:p w:rsidR="009E0B2B" w:rsidRPr="00E878FA" w:rsidRDefault="00EE291E" w:rsidP="00EE291E">
      <w:pPr>
        <w:tabs>
          <w:tab w:val="left" w:pos="3150"/>
        </w:tabs>
        <w:spacing w:after="0" w:line="240" w:lineRule="auto"/>
        <w:jc w:val="center"/>
        <w:rPr>
          <w:rFonts w:ascii="Minion Pro" w:hAnsi="Minion Pro"/>
          <w:b/>
          <w:bCs/>
        </w:rPr>
      </w:pPr>
      <w:r>
        <w:rPr>
          <w:rFonts w:ascii="Minion Pro" w:hAnsi="Minion Pro"/>
          <w:b/>
          <w:bCs/>
        </w:rPr>
        <w:t>BA</w:t>
      </w:r>
      <w:r w:rsidR="009E0B2B" w:rsidRPr="00E878FA">
        <w:rPr>
          <w:rFonts w:ascii="Minion Pro" w:hAnsi="Minion Pro"/>
          <w:b/>
          <w:bCs/>
        </w:rPr>
        <w:t>B I</w:t>
      </w:r>
    </w:p>
    <w:p w:rsidR="009E0B2B" w:rsidRPr="00E878FA" w:rsidRDefault="009E0B2B" w:rsidP="009E0B2B">
      <w:pPr>
        <w:spacing w:after="0" w:line="240" w:lineRule="auto"/>
        <w:jc w:val="center"/>
        <w:rPr>
          <w:rFonts w:ascii="Minion Pro" w:hAnsi="Minion Pro"/>
          <w:b/>
          <w:bCs/>
        </w:rPr>
      </w:pPr>
      <w:r w:rsidRPr="00E878FA">
        <w:rPr>
          <w:rFonts w:ascii="Minion Pro" w:hAnsi="Minion Pro"/>
          <w:b/>
          <w:bCs/>
        </w:rPr>
        <w:t>PENDAHULUAN</w:t>
      </w:r>
    </w:p>
    <w:p w:rsidR="009E0B2B" w:rsidRPr="00E878FA" w:rsidRDefault="009E0B2B" w:rsidP="009E0B2B">
      <w:pPr>
        <w:spacing w:after="0" w:line="240" w:lineRule="auto"/>
        <w:jc w:val="center"/>
        <w:rPr>
          <w:rFonts w:ascii="Minion Pro" w:hAnsi="Minion Pro"/>
          <w:b/>
          <w:bCs/>
        </w:rPr>
      </w:pPr>
    </w:p>
    <w:p w:rsidR="009E0B2B" w:rsidRPr="00E878FA" w:rsidRDefault="009E0B2B" w:rsidP="009E0B2B">
      <w:pPr>
        <w:spacing w:after="0" w:line="240" w:lineRule="auto"/>
        <w:jc w:val="center"/>
        <w:rPr>
          <w:rFonts w:ascii="Minion Pro" w:hAnsi="Minion Pro"/>
          <w:b/>
          <w:bCs/>
        </w:rPr>
      </w:pPr>
    </w:p>
    <w:p w:rsidR="009E0B2B" w:rsidRPr="00E878FA" w:rsidRDefault="009E0B2B" w:rsidP="009E0B2B">
      <w:pPr>
        <w:pStyle w:val="ListParagraph"/>
        <w:numPr>
          <w:ilvl w:val="0"/>
          <w:numId w:val="1"/>
        </w:numPr>
        <w:spacing w:after="0" w:line="240" w:lineRule="auto"/>
        <w:ind w:left="284" w:hanging="284"/>
        <w:rPr>
          <w:rFonts w:ascii="Minion Pro" w:hAnsi="Minion Pro"/>
          <w:b/>
          <w:bCs/>
        </w:rPr>
      </w:pPr>
      <w:proofErr w:type="spellStart"/>
      <w:r w:rsidRPr="00E878FA">
        <w:rPr>
          <w:rFonts w:ascii="Minion Pro" w:hAnsi="Minion Pro"/>
          <w:b/>
          <w:bCs/>
        </w:rPr>
        <w:t>Latar</w:t>
      </w:r>
      <w:proofErr w:type="spellEnd"/>
      <w:r w:rsidRPr="00E878FA">
        <w:rPr>
          <w:rFonts w:ascii="Minion Pro" w:hAnsi="Minion Pro"/>
          <w:b/>
          <w:bCs/>
        </w:rPr>
        <w:t xml:space="preserve"> </w:t>
      </w:r>
      <w:proofErr w:type="spellStart"/>
      <w:r w:rsidRPr="00E878FA">
        <w:rPr>
          <w:rFonts w:ascii="Minion Pro" w:hAnsi="Minion Pro"/>
          <w:b/>
          <w:bCs/>
        </w:rPr>
        <w:t>Belakang</w:t>
      </w:r>
      <w:proofErr w:type="spellEnd"/>
    </w:p>
    <w:p w:rsidR="009E0B2B" w:rsidRPr="00E878FA" w:rsidRDefault="009E0B2B" w:rsidP="009E0B2B">
      <w:pPr>
        <w:pStyle w:val="ListParagraph"/>
        <w:spacing w:after="0" w:line="240" w:lineRule="auto"/>
        <w:ind w:left="284" w:firstLine="567"/>
        <w:jc w:val="both"/>
        <w:rPr>
          <w:rFonts w:ascii="Minion Pro" w:hAnsi="Minion Pro"/>
        </w:rPr>
      </w:pPr>
      <w:proofErr w:type="spellStart"/>
      <w:proofErr w:type="gramStart"/>
      <w:r w:rsidRPr="00E878FA">
        <w:rPr>
          <w:rFonts w:ascii="Minion Pro" w:hAnsi="Minion Pro"/>
        </w:rPr>
        <w:t>Tahun</w:t>
      </w:r>
      <w:proofErr w:type="spellEnd"/>
      <w:r w:rsidRPr="00E878FA">
        <w:rPr>
          <w:rFonts w:ascii="Minion Pro" w:hAnsi="Minion Pro"/>
        </w:rPr>
        <w:t xml:space="preserve"> 2016 </w:t>
      </w:r>
      <w:proofErr w:type="spellStart"/>
      <w:r w:rsidRPr="00E878FA">
        <w:rPr>
          <w:rFonts w:ascii="Minion Pro" w:hAnsi="Minion Pro"/>
        </w:rPr>
        <w:t>merupakan</w:t>
      </w:r>
      <w:proofErr w:type="spellEnd"/>
      <w:r w:rsidRPr="00E878FA">
        <w:rPr>
          <w:rFonts w:ascii="Minion Pro" w:hAnsi="Minion Pro"/>
        </w:rPr>
        <w:t xml:space="preserve"> </w:t>
      </w:r>
      <w:proofErr w:type="spellStart"/>
      <w:r w:rsidRPr="00E878FA">
        <w:rPr>
          <w:rFonts w:ascii="Minion Pro" w:hAnsi="Minion Pro"/>
        </w:rPr>
        <w:t>tahun</w:t>
      </w:r>
      <w:proofErr w:type="spellEnd"/>
      <w:r w:rsidRPr="00E878FA">
        <w:rPr>
          <w:rFonts w:ascii="Minion Pro" w:hAnsi="Minion Pro"/>
        </w:rPr>
        <w:t xml:space="preserve"> ke-10 SETARA Institute </w:t>
      </w:r>
      <w:proofErr w:type="spellStart"/>
      <w:r w:rsidRPr="00E878FA">
        <w:rPr>
          <w:rFonts w:ascii="Minion Pro" w:hAnsi="Minion Pro"/>
        </w:rPr>
        <w:t>melakukan</w:t>
      </w:r>
      <w:proofErr w:type="spellEnd"/>
      <w:r w:rsidRPr="00E878FA">
        <w:rPr>
          <w:rFonts w:ascii="Minion Pro" w:hAnsi="Minion Pro"/>
        </w:rPr>
        <w:t xml:space="preserve"> </w:t>
      </w:r>
      <w:proofErr w:type="spellStart"/>
      <w:r w:rsidRPr="00E878FA">
        <w:rPr>
          <w:rFonts w:ascii="Minion Pro" w:hAnsi="Minion Pro"/>
        </w:rPr>
        <w:t>riset</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pemantauan</w:t>
      </w:r>
      <w:proofErr w:type="spellEnd"/>
      <w:r w:rsidRPr="00E878FA">
        <w:rPr>
          <w:rFonts w:ascii="Minion Pro" w:hAnsi="Minion Pro"/>
        </w:rPr>
        <w:t xml:space="preserve"> </w:t>
      </w:r>
      <w:proofErr w:type="spellStart"/>
      <w:r w:rsidRPr="00E878FA">
        <w:rPr>
          <w:rFonts w:ascii="Minion Pro" w:hAnsi="Minion Pro"/>
        </w:rPr>
        <w:t>kondisi</w:t>
      </w:r>
      <w:proofErr w:type="spellEnd"/>
      <w:r w:rsidRPr="00E878FA">
        <w:rPr>
          <w:rFonts w:ascii="Minion Pro" w:hAnsi="Minion Pro"/>
        </w:rPr>
        <w:t xml:space="preserve"> </w:t>
      </w:r>
      <w:proofErr w:type="spellStart"/>
      <w:r w:rsidRPr="00E878FA">
        <w:rPr>
          <w:rFonts w:ascii="Minion Pro" w:hAnsi="Minion Pro"/>
        </w:rPr>
        <w:t>kebebasan</w:t>
      </w:r>
      <w:proofErr w:type="spellEnd"/>
      <w:r w:rsidRPr="00E878FA">
        <w:rPr>
          <w:rFonts w:ascii="Minion Pro" w:hAnsi="Minion Pro"/>
        </w:rPr>
        <w:t xml:space="preserve"> </w:t>
      </w:r>
      <w:proofErr w:type="spellStart"/>
      <w:r w:rsidRPr="00E878FA">
        <w:rPr>
          <w:rFonts w:ascii="Minion Pro" w:hAnsi="Minion Pro"/>
        </w:rPr>
        <w:t>beragama</w:t>
      </w:r>
      <w:proofErr w:type="spellEnd"/>
      <w:r w:rsidRPr="00E878FA">
        <w:rPr>
          <w:rFonts w:ascii="Minion Pro" w:hAnsi="Minion Pro"/>
        </w:rPr>
        <w:t>/</w:t>
      </w:r>
      <w:proofErr w:type="spellStart"/>
      <w:r w:rsidRPr="00E878FA">
        <w:rPr>
          <w:rFonts w:ascii="Minion Pro" w:hAnsi="Minion Pro"/>
        </w:rPr>
        <w:t>berkeyakinan</w:t>
      </w:r>
      <w:proofErr w:type="spellEnd"/>
      <w:r w:rsidRPr="00E878FA">
        <w:rPr>
          <w:rFonts w:ascii="Minion Pro" w:hAnsi="Minion Pro"/>
        </w:rPr>
        <w:t xml:space="preserve"> (KBB) di Indonesia.</w:t>
      </w:r>
      <w:proofErr w:type="gramEnd"/>
      <w:r w:rsidRPr="00E878FA">
        <w:rPr>
          <w:rFonts w:ascii="Minion Pro" w:hAnsi="Minion Pro"/>
        </w:rPr>
        <w:t xml:space="preserve"> </w:t>
      </w:r>
      <w:proofErr w:type="spellStart"/>
      <w:r w:rsidRPr="00E878FA">
        <w:rPr>
          <w:rFonts w:ascii="Minion Pro" w:hAnsi="Minion Pro"/>
        </w:rPr>
        <w:t>Mulai</w:t>
      </w:r>
      <w:proofErr w:type="spellEnd"/>
      <w:r w:rsidRPr="00E878FA">
        <w:rPr>
          <w:rFonts w:ascii="Minion Pro" w:hAnsi="Minion Pro"/>
        </w:rPr>
        <w:t xml:space="preserve"> </w:t>
      </w:r>
      <w:proofErr w:type="spellStart"/>
      <w:r w:rsidRPr="00E878FA">
        <w:rPr>
          <w:rFonts w:ascii="Minion Pro" w:hAnsi="Minion Pro"/>
        </w:rPr>
        <w:t>tahun</w:t>
      </w:r>
      <w:proofErr w:type="spellEnd"/>
      <w:r w:rsidRPr="00E878FA">
        <w:rPr>
          <w:rFonts w:ascii="Minion Pro" w:hAnsi="Minion Pro"/>
        </w:rPr>
        <w:t xml:space="preserve"> </w:t>
      </w:r>
      <w:proofErr w:type="spellStart"/>
      <w:r w:rsidRPr="00E878FA">
        <w:rPr>
          <w:rFonts w:ascii="Minion Pro" w:hAnsi="Minion Pro"/>
        </w:rPr>
        <w:t>ini</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ke</w:t>
      </w:r>
      <w:proofErr w:type="spellEnd"/>
      <w:r w:rsidRPr="00E878FA">
        <w:rPr>
          <w:rFonts w:ascii="Minion Pro" w:hAnsi="Minion Pro"/>
        </w:rPr>
        <w:t xml:space="preserve"> </w:t>
      </w:r>
      <w:proofErr w:type="spellStart"/>
      <w:proofErr w:type="gramStart"/>
      <w:r w:rsidRPr="00E878FA">
        <w:rPr>
          <w:rFonts w:ascii="Minion Pro" w:hAnsi="Minion Pro"/>
        </w:rPr>
        <w:t>depan</w:t>
      </w:r>
      <w:proofErr w:type="spellEnd"/>
      <w:r w:rsidRPr="00E878FA">
        <w:rPr>
          <w:rFonts w:ascii="Minion Pro" w:hAnsi="Minion Pro"/>
        </w:rPr>
        <w:t>,</w:t>
      </w:r>
      <w:proofErr w:type="gramEnd"/>
      <w:r w:rsidRPr="00E878FA">
        <w:rPr>
          <w:rFonts w:ascii="Minion Pro" w:hAnsi="Minion Pro"/>
        </w:rPr>
        <w:t xml:space="preserve"> SETARA Institute </w:t>
      </w:r>
      <w:proofErr w:type="spellStart"/>
      <w:r w:rsidRPr="00E878FA">
        <w:rPr>
          <w:rFonts w:ascii="Minion Pro" w:hAnsi="Minion Pro"/>
        </w:rPr>
        <w:t>memberikan</w:t>
      </w:r>
      <w:proofErr w:type="spellEnd"/>
      <w:r w:rsidRPr="00E878FA">
        <w:rPr>
          <w:rFonts w:ascii="Minion Pro" w:hAnsi="Minion Pro"/>
        </w:rPr>
        <w:t xml:space="preserve"> </w:t>
      </w:r>
      <w:proofErr w:type="spellStart"/>
      <w:r w:rsidRPr="00E878FA">
        <w:rPr>
          <w:rFonts w:ascii="Minion Pro" w:hAnsi="Minion Pro"/>
        </w:rPr>
        <w:t>perhatian</w:t>
      </w:r>
      <w:proofErr w:type="spellEnd"/>
      <w:r w:rsidRPr="00E878FA">
        <w:rPr>
          <w:rFonts w:ascii="Minion Pro" w:hAnsi="Minion Pro"/>
        </w:rPr>
        <w:t xml:space="preserve"> </w:t>
      </w:r>
      <w:proofErr w:type="spellStart"/>
      <w:r w:rsidRPr="00E878FA">
        <w:rPr>
          <w:rFonts w:ascii="Minion Pro" w:hAnsi="Minion Pro"/>
        </w:rPr>
        <w:t>khusus</w:t>
      </w:r>
      <w:proofErr w:type="spellEnd"/>
      <w:r w:rsidRPr="00E878FA">
        <w:rPr>
          <w:rFonts w:ascii="Minion Pro" w:hAnsi="Minion Pro"/>
        </w:rPr>
        <w:t xml:space="preserve"> </w:t>
      </w:r>
      <w:proofErr w:type="spellStart"/>
      <w:r w:rsidRPr="00E878FA">
        <w:rPr>
          <w:rFonts w:ascii="Minion Pro" w:hAnsi="Minion Pro"/>
        </w:rPr>
        <w:t>terhadap</w:t>
      </w:r>
      <w:proofErr w:type="spellEnd"/>
      <w:r w:rsidRPr="00E878FA">
        <w:rPr>
          <w:rFonts w:ascii="Minion Pro" w:hAnsi="Minion Pro"/>
        </w:rPr>
        <w:t xml:space="preserve"> </w:t>
      </w:r>
      <w:proofErr w:type="spellStart"/>
      <w:r w:rsidRPr="00E878FA">
        <w:rPr>
          <w:rFonts w:ascii="Minion Pro" w:hAnsi="Minion Pro"/>
        </w:rPr>
        <w:t>minoritas</w:t>
      </w:r>
      <w:proofErr w:type="spellEnd"/>
      <w:r w:rsidRPr="00E878FA">
        <w:rPr>
          <w:rFonts w:ascii="Minion Pro" w:hAnsi="Minion Pro"/>
        </w:rPr>
        <w:t xml:space="preserve"> </w:t>
      </w:r>
      <w:proofErr w:type="spellStart"/>
      <w:r w:rsidRPr="00E878FA">
        <w:rPr>
          <w:rFonts w:ascii="Minion Pro" w:hAnsi="Minion Pro"/>
        </w:rPr>
        <w:t>keagamaan</w:t>
      </w:r>
      <w:proofErr w:type="spellEnd"/>
      <w:r w:rsidRPr="00E878FA">
        <w:rPr>
          <w:rFonts w:ascii="Minion Pro" w:hAnsi="Minion Pro"/>
        </w:rPr>
        <w:t xml:space="preserve"> di </w:t>
      </w:r>
      <w:proofErr w:type="spellStart"/>
      <w:r w:rsidRPr="00E878FA">
        <w:rPr>
          <w:rFonts w:ascii="Minion Pro" w:hAnsi="Minion Pro"/>
        </w:rPr>
        <w:t>samping</w:t>
      </w:r>
      <w:proofErr w:type="spellEnd"/>
      <w:r w:rsidRPr="00E878FA">
        <w:rPr>
          <w:rFonts w:ascii="Minion Pro" w:hAnsi="Minion Pro"/>
        </w:rPr>
        <w:t xml:space="preserve"> </w:t>
      </w:r>
      <w:proofErr w:type="spellStart"/>
      <w:r w:rsidRPr="00E878FA">
        <w:rPr>
          <w:rFonts w:ascii="Minion Pro" w:hAnsi="Minion Pro"/>
        </w:rPr>
        <w:t>kondisi</w:t>
      </w:r>
      <w:proofErr w:type="spellEnd"/>
      <w:r w:rsidRPr="00E878FA">
        <w:rPr>
          <w:rFonts w:ascii="Minion Pro" w:hAnsi="Minion Pro"/>
        </w:rPr>
        <w:t xml:space="preserve"> KBB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makro</w:t>
      </w:r>
      <w:proofErr w:type="spellEnd"/>
      <w:r w:rsidRPr="00E878FA">
        <w:rPr>
          <w:rFonts w:ascii="Minion Pro" w:hAnsi="Minion Pro"/>
        </w:rPr>
        <w:t xml:space="preserve">. </w:t>
      </w:r>
      <w:proofErr w:type="gramStart"/>
      <w:r w:rsidRPr="00E878FA">
        <w:rPr>
          <w:rFonts w:ascii="Minion Pro" w:hAnsi="Minion Pro"/>
        </w:rPr>
        <w:t xml:space="preserve">Hal </w:t>
      </w:r>
      <w:proofErr w:type="spellStart"/>
      <w:r w:rsidRPr="00E878FA">
        <w:rPr>
          <w:rFonts w:ascii="Minion Pro" w:hAnsi="Minion Pro"/>
        </w:rPr>
        <w:t>itu</w:t>
      </w:r>
      <w:proofErr w:type="spellEnd"/>
      <w:r w:rsidRPr="00E878FA">
        <w:rPr>
          <w:rFonts w:ascii="Minion Pro" w:hAnsi="Minion Pro"/>
        </w:rPr>
        <w:t xml:space="preserve"> </w:t>
      </w:r>
      <w:proofErr w:type="spellStart"/>
      <w:r w:rsidRPr="00E878FA">
        <w:rPr>
          <w:rFonts w:ascii="Minion Pro" w:hAnsi="Minion Pro"/>
        </w:rPr>
        <w:t>dilatarbelakangi</w:t>
      </w:r>
      <w:proofErr w:type="spellEnd"/>
      <w:r w:rsidRPr="00E878FA">
        <w:rPr>
          <w:rFonts w:ascii="Minion Pro" w:hAnsi="Minion Pro"/>
        </w:rPr>
        <w:t xml:space="preserve"> paling </w:t>
      </w:r>
      <w:proofErr w:type="spellStart"/>
      <w:r w:rsidRPr="00E878FA">
        <w:rPr>
          <w:rFonts w:ascii="Minion Pro" w:hAnsi="Minion Pro"/>
        </w:rPr>
        <w:t>tidak</w:t>
      </w:r>
      <w:proofErr w:type="spellEnd"/>
      <w:r w:rsidRPr="00E878FA">
        <w:rPr>
          <w:rFonts w:ascii="Minion Pro" w:hAnsi="Minion Pro"/>
        </w:rPr>
        <w:t xml:space="preserve"> </w:t>
      </w:r>
      <w:proofErr w:type="spellStart"/>
      <w:r w:rsidRPr="00E878FA">
        <w:rPr>
          <w:rFonts w:ascii="Minion Pro" w:hAnsi="Minion Pro"/>
        </w:rPr>
        <w:t>beberapa</w:t>
      </w:r>
      <w:proofErr w:type="spellEnd"/>
      <w:r w:rsidRPr="00E878FA">
        <w:rPr>
          <w:rFonts w:ascii="Minion Pro" w:hAnsi="Minion Pro"/>
        </w:rPr>
        <w:t xml:space="preserve"> </w:t>
      </w:r>
      <w:proofErr w:type="spellStart"/>
      <w:r w:rsidRPr="00E878FA">
        <w:rPr>
          <w:rFonts w:ascii="Minion Pro" w:hAnsi="Minion Pro"/>
        </w:rPr>
        <w:t>faktor</w:t>
      </w:r>
      <w:proofErr w:type="spellEnd"/>
      <w:r w:rsidRPr="00E878FA">
        <w:rPr>
          <w:rFonts w:ascii="Minion Pro" w:hAnsi="Minion Pro"/>
        </w:rPr>
        <w:t xml:space="preserve"> </w:t>
      </w:r>
      <w:proofErr w:type="spellStart"/>
      <w:r w:rsidRPr="00E878FA">
        <w:rPr>
          <w:rFonts w:ascii="Minion Pro" w:hAnsi="Minion Pro"/>
        </w:rPr>
        <w:t>berikut</w:t>
      </w:r>
      <w:proofErr w:type="spellEnd"/>
      <w:r w:rsidRPr="00E878FA">
        <w:rPr>
          <w:rFonts w:ascii="Minion Pro" w:hAnsi="Minion Pro"/>
        </w:rPr>
        <w:t xml:space="preserve"> </w:t>
      </w:r>
      <w:proofErr w:type="spellStart"/>
      <w:r w:rsidRPr="00E878FA">
        <w:rPr>
          <w:rFonts w:ascii="Minion Pro" w:hAnsi="Minion Pro"/>
        </w:rPr>
        <w:t>ini</w:t>
      </w:r>
      <w:proofErr w:type="spellEnd"/>
      <w:r w:rsidRPr="00E878FA">
        <w:rPr>
          <w:rFonts w:ascii="Minion Pro" w:hAnsi="Minion Pro"/>
        </w:rPr>
        <w:t>.</w:t>
      </w:r>
      <w:proofErr w:type="gramEnd"/>
    </w:p>
    <w:p w:rsidR="009E0B2B" w:rsidRPr="00E878FA" w:rsidRDefault="009E0B2B" w:rsidP="009E0B2B">
      <w:pPr>
        <w:pStyle w:val="ListParagraph"/>
        <w:spacing w:before="240" w:after="0" w:line="240" w:lineRule="auto"/>
        <w:ind w:left="284" w:firstLine="567"/>
        <w:jc w:val="both"/>
        <w:rPr>
          <w:rFonts w:ascii="Minion Pro" w:hAnsi="Minion Pro"/>
          <w:iCs/>
        </w:rPr>
      </w:pPr>
      <w:proofErr w:type="spellStart"/>
      <w:proofErr w:type="gramStart"/>
      <w:r w:rsidRPr="00E878FA">
        <w:rPr>
          <w:rFonts w:ascii="Minion Pro" w:hAnsi="Minion Pro"/>
          <w:i/>
        </w:rPr>
        <w:t>Pertama</w:t>
      </w:r>
      <w:proofErr w:type="spellEnd"/>
      <w:r w:rsidRPr="00E878FA">
        <w:rPr>
          <w:rFonts w:ascii="Minion Pro" w:hAnsi="Minion Pro"/>
          <w:i/>
        </w:rPr>
        <w:t>,</w:t>
      </w:r>
      <w:r w:rsidRPr="00E878FA">
        <w:rPr>
          <w:rFonts w:ascii="Minion Pro" w:hAnsi="Minion Pro"/>
        </w:rPr>
        <w:t xml:space="preserve">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konseptual</w:t>
      </w:r>
      <w:proofErr w:type="spellEnd"/>
      <w:r w:rsidRPr="00E878FA">
        <w:rPr>
          <w:rFonts w:ascii="Minion Pro" w:hAnsi="Minion Pro"/>
        </w:rPr>
        <w:t xml:space="preserve"> </w:t>
      </w:r>
      <w:proofErr w:type="spellStart"/>
      <w:r w:rsidRPr="00E878FA">
        <w:rPr>
          <w:rFonts w:ascii="Minion Pro" w:hAnsi="Minion Pro"/>
        </w:rPr>
        <w:t>bahwa</w:t>
      </w:r>
      <w:proofErr w:type="spellEnd"/>
      <w:r w:rsidRPr="00E878FA">
        <w:rPr>
          <w:rFonts w:ascii="Minion Pro" w:hAnsi="Minion Pro"/>
        </w:rPr>
        <w:t xml:space="preserve"> </w:t>
      </w:r>
      <w:proofErr w:type="spellStart"/>
      <w:r w:rsidRPr="00E878FA">
        <w:rPr>
          <w:rFonts w:ascii="Minion Pro" w:hAnsi="Minion Pro"/>
        </w:rPr>
        <w:t>demokrasi</w:t>
      </w:r>
      <w:proofErr w:type="spellEnd"/>
      <w:r w:rsidRPr="00E878FA">
        <w:rPr>
          <w:rFonts w:ascii="Minion Pro" w:hAnsi="Minion Pro"/>
        </w:rPr>
        <w:t xml:space="preserve"> </w:t>
      </w:r>
      <w:proofErr w:type="spellStart"/>
      <w:r w:rsidRPr="00E878FA">
        <w:rPr>
          <w:rFonts w:ascii="Minion Pro" w:hAnsi="Minion Pro"/>
        </w:rPr>
        <w:t>adalah</w:t>
      </w:r>
      <w:proofErr w:type="spellEnd"/>
      <w:r w:rsidRPr="00E878FA">
        <w:rPr>
          <w:rFonts w:ascii="Minion Pro" w:hAnsi="Minion Pro"/>
        </w:rPr>
        <w:t xml:space="preserve"> </w:t>
      </w:r>
      <w:proofErr w:type="spellStart"/>
      <w:r w:rsidRPr="00E878FA">
        <w:rPr>
          <w:rFonts w:ascii="Minion Pro" w:hAnsi="Minion Pro"/>
        </w:rPr>
        <w:t>sistem</w:t>
      </w:r>
      <w:proofErr w:type="spellEnd"/>
      <w:r w:rsidRPr="00E878FA">
        <w:rPr>
          <w:rFonts w:ascii="Minion Pro" w:hAnsi="Minion Pro"/>
        </w:rPr>
        <w:t xml:space="preserve"> </w:t>
      </w:r>
      <w:proofErr w:type="spellStart"/>
      <w:r w:rsidRPr="00E878FA">
        <w:rPr>
          <w:rFonts w:ascii="Minion Pro" w:hAnsi="Minion Pro"/>
        </w:rPr>
        <w:t>tata</w:t>
      </w:r>
      <w:proofErr w:type="spellEnd"/>
      <w:r w:rsidRPr="00E878FA">
        <w:rPr>
          <w:rFonts w:ascii="Minion Pro" w:hAnsi="Minion Pro"/>
        </w:rPr>
        <w:t xml:space="preserve"> </w:t>
      </w:r>
      <w:proofErr w:type="spellStart"/>
      <w:r w:rsidRPr="00E878FA">
        <w:rPr>
          <w:rFonts w:ascii="Minion Pro" w:hAnsi="Minion Pro"/>
        </w:rPr>
        <w:t>kelola</w:t>
      </w:r>
      <w:proofErr w:type="spellEnd"/>
      <w:r w:rsidRPr="00E878FA">
        <w:rPr>
          <w:rFonts w:ascii="Minion Pro" w:hAnsi="Minion Pro"/>
        </w:rPr>
        <w:t xml:space="preserve"> </w:t>
      </w:r>
      <w:proofErr w:type="spellStart"/>
      <w:r w:rsidRPr="00E878FA">
        <w:rPr>
          <w:rFonts w:ascii="Minion Pro" w:hAnsi="Minion Pro"/>
        </w:rPr>
        <w:t>kekuasaan</w:t>
      </w:r>
      <w:proofErr w:type="spellEnd"/>
      <w:r w:rsidRPr="00E878FA">
        <w:rPr>
          <w:rFonts w:ascii="Minion Pro" w:hAnsi="Minion Pro"/>
        </w:rPr>
        <w:t xml:space="preserve"> yang </w:t>
      </w:r>
      <w:proofErr w:type="spellStart"/>
      <w:r w:rsidRPr="00E878FA">
        <w:rPr>
          <w:rFonts w:ascii="Minion Pro" w:hAnsi="Minion Pro"/>
        </w:rPr>
        <w:t>dijalankan</w:t>
      </w:r>
      <w:proofErr w:type="spellEnd"/>
      <w:r w:rsidRPr="00E878FA">
        <w:rPr>
          <w:rFonts w:ascii="Minion Pro" w:hAnsi="Minion Pro"/>
        </w:rPr>
        <w:t xml:space="preserve"> </w:t>
      </w:r>
      <w:proofErr w:type="spellStart"/>
      <w:r w:rsidRPr="00E878FA">
        <w:rPr>
          <w:rFonts w:ascii="Minion Pro" w:hAnsi="Minion Pro"/>
        </w:rPr>
        <w:t>oleh</w:t>
      </w:r>
      <w:proofErr w:type="spellEnd"/>
      <w:r w:rsidRPr="00E878FA">
        <w:rPr>
          <w:rFonts w:ascii="Minion Pro" w:hAnsi="Minion Pro"/>
        </w:rPr>
        <w:t xml:space="preserve"> </w:t>
      </w:r>
      <w:proofErr w:type="spellStart"/>
      <w:r w:rsidRPr="00E878FA">
        <w:rPr>
          <w:rFonts w:ascii="Minion Pro" w:hAnsi="Minion Pro"/>
        </w:rPr>
        <w:t>pemerintahan</w:t>
      </w:r>
      <w:proofErr w:type="spellEnd"/>
      <w:r w:rsidRPr="00E878FA">
        <w:rPr>
          <w:rFonts w:ascii="Minion Pro" w:hAnsi="Minion Pro"/>
        </w:rPr>
        <w:t xml:space="preserve"> </w:t>
      </w:r>
      <w:proofErr w:type="spellStart"/>
      <w:r w:rsidRPr="00E878FA">
        <w:rPr>
          <w:rFonts w:ascii="Minion Pro" w:hAnsi="Minion Pro"/>
        </w:rPr>
        <w:t>oleh</w:t>
      </w:r>
      <w:proofErr w:type="spellEnd"/>
      <w:r w:rsidRPr="00E878FA">
        <w:rPr>
          <w:rFonts w:ascii="Minion Pro" w:hAnsi="Minion Pro"/>
        </w:rPr>
        <w:t xml:space="preserve"> </w:t>
      </w:r>
      <w:proofErr w:type="spellStart"/>
      <w:r w:rsidRPr="00E878FA">
        <w:rPr>
          <w:rFonts w:ascii="Minion Pro" w:hAnsi="Minion Pro"/>
        </w:rPr>
        <w:t>mayoritas</w:t>
      </w:r>
      <w:proofErr w:type="spellEnd"/>
      <w:r w:rsidRPr="00E878FA">
        <w:rPr>
          <w:rFonts w:ascii="Minion Pro" w:hAnsi="Minion Pro"/>
        </w:rPr>
        <w:t xml:space="preserve"> </w:t>
      </w:r>
      <w:r w:rsidRPr="00E878FA">
        <w:rPr>
          <w:rFonts w:ascii="Minion Pro" w:hAnsi="Minion Pro"/>
          <w:i/>
        </w:rPr>
        <w:t>(</w:t>
      </w:r>
      <w:r w:rsidRPr="00E878FA">
        <w:rPr>
          <w:rFonts w:ascii="Minion Pro" w:hAnsi="Minion Pro"/>
          <w:i/>
          <w:iCs/>
        </w:rPr>
        <w:t xml:space="preserve">majority rule) </w:t>
      </w:r>
      <w:proofErr w:type="spellStart"/>
      <w:r w:rsidRPr="00E878FA">
        <w:rPr>
          <w:rFonts w:ascii="Minion Pro" w:hAnsi="Minion Pro"/>
          <w:iCs/>
        </w:rPr>
        <w:t>dengan</w:t>
      </w:r>
      <w:proofErr w:type="spellEnd"/>
      <w:r w:rsidRPr="00E878FA">
        <w:rPr>
          <w:rFonts w:ascii="Minion Pro" w:hAnsi="Minion Pro"/>
          <w:iCs/>
        </w:rPr>
        <w:t xml:space="preserve"> </w:t>
      </w:r>
      <w:proofErr w:type="spellStart"/>
      <w:r w:rsidRPr="00E878FA">
        <w:rPr>
          <w:rFonts w:ascii="Minion Pro" w:hAnsi="Minion Pro"/>
          <w:iCs/>
        </w:rPr>
        <w:t>memberikan</w:t>
      </w:r>
      <w:proofErr w:type="spellEnd"/>
      <w:r w:rsidRPr="00E878FA">
        <w:rPr>
          <w:rFonts w:ascii="Minion Pro" w:hAnsi="Minion Pro"/>
          <w:iCs/>
        </w:rPr>
        <w:t xml:space="preserve"> </w:t>
      </w:r>
      <w:proofErr w:type="spellStart"/>
      <w:r w:rsidRPr="00E878FA">
        <w:rPr>
          <w:rFonts w:ascii="Minion Pro" w:hAnsi="Minion Pro"/>
          <w:iCs/>
        </w:rPr>
        <w:t>jaminan</w:t>
      </w:r>
      <w:proofErr w:type="spellEnd"/>
      <w:r w:rsidRPr="00E878FA">
        <w:rPr>
          <w:rFonts w:ascii="Minion Pro" w:hAnsi="Minion Pro"/>
          <w:iCs/>
        </w:rPr>
        <w:t xml:space="preserve"> </w:t>
      </w:r>
      <w:proofErr w:type="spellStart"/>
      <w:r w:rsidRPr="00E878FA">
        <w:rPr>
          <w:rFonts w:ascii="Minion Pro" w:hAnsi="Minion Pro"/>
          <w:iCs/>
        </w:rPr>
        <w:t>perlindungan</w:t>
      </w:r>
      <w:proofErr w:type="spellEnd"/>
      <w:r w:rsidRPr="00E878FA">
        <w:rPr>
          <w:rFonts w:ascii="Minion Pro" w:hAnsi="Minion Pro"/>
          <w:iCs/>
        </w:rPr>
        <w:t xml:space="preserve"> </w:t>
      </w:r>
      <w:proofErr w:type="spellStart"/>
      <w:r w:rsidRPr="00E878FA">
        <w:rPr>
          <w:rFonts w:ascii="Minion Pro" w:hAnsi="Minion Pro"/>
          <w:iCs/>
        </w:rPr>
        <w:t>terhadap</w:t>
      </w:r>
      <w:proofErr w:type="spellEnd"/>
      <w:r w:rsidRPr="00E878FA">
        <w:rPr>
          <w:rFonts w:ascii="Minion Pro" w:hAnsi="Minion Pro"/>
          <w:iCs/>
        </w:rPr>
        <w:t xml:space="preserve"> </w:t>
      </w:r>
      <w:proofErr w:type="spellStart"/>
      <w:r w:rsidRPr="00E878FA">
        <w:rPr>
          <w:rFonts w:ascii="Minion Pro" w:hAnsi="Minion Pro"/>
          <w:iCs/>
        </w:rPr>
        <w:t>hak-hak</w:t>
      </w:r>
      <w:proofErr w:type="spellEnd"/>
      <w:r w:rsidRPr="00E878FA">
        <w:rPr>
          <w:rFonts w:ascii="Minion Pro" w:hAnsi="Minion Pro"/>
          <w:iCs/>
        </w:rPr>
        <w:t xml:space="preserve"> </w:t>
      </w:r>
      <w:proofErr w:type="spellStart"/>
      <w:r w:rsidRPr="00E878FA">
        <w:rPr>
          <w:rFonts w:ascii="Minion Pro" w:hAnsi="Minion Pro"/>
          <w:iCs/>
        </w:rPr>
        <w:t>minoritas</w:t>
      </w:r>
      <w:proofErr w:type="spellEnd"/>
      <w:r w:rsidRPr="00E878FA">
        <w:rPr>
          <w:rFonts w:ascii="Minion Pro" w:hAnsi="Minion Pro"/>
          <w:i/>
          <w:iCs/>
        </w:rPr>
        <w:t xml:space="preserve"> (minority rights).</w:t>
      </w:r>
      <w:proofErr w:type="gramEnd"/>
      <w:r w:rsidRPr="00E878FA">
        <w:rPr>
          <w:rFonts w:ascii="Minion Pro" w:hAnsi="Minion Pro"/>
          <w:i/>
          <w:iCs/>
        </w:rPr>
        <w:t xml:space="preserve"> </w:t>
      </w:r>
      <w:proofErr w:type="spellStart"/>
      <w:r w:rsidRPr="00E878FA">
        <w:rPr>
          <w:rFonts w:ascii="Minion Pro" w:hAnsi="Minion Pro"/>
          <w:iCs/>
        </w:rPr>
        <w:t>Hak</w:t>
      </w:r>
      <w:proofErr w:type="spellEnd"/>
      <w:r w:rsidRPr="00E878FA">
        <w:rPr>
          <w:rFonts w:ascii="Minion Pro" w:hAnsi="Minion Pro"/>
          <w:iCs/>
        </w:rPr>
        <w:t xml:space="preserve"> </w:t>
      </w:r>
      <w:proofErr w:type="spellStart"/>
      <w:r w:rsidRPr="00E878FA">
        <w:rPr>
          <w:rFonts w:ascii="Minion Pro" w:hAnsi="Minion Pro"/>
          <w:iCs/>
        </w:rPr>
        <w:t>Asasi</w:t>
      </w:r>
      <w:proofErr w:type="spellEnd"/>
      <w:r w:rsidRPr="00E878FA">
        <w:rPr>
          <w:rFonts w:ascii="Minion Pro" w:hAnsi="Minion Pro"/>
          <w:iCs/>
        </w:rPr>
        <w:t xml:space="preserve"> </w:t>
      </w:r>
      <w:proofErr w:type="spellStart"/>
      <w:r w:rsidRPr="00E878FA">
        <w:rPr>
          <w:rFonts w:ascii="Minion Pro" w:hAnsi="Minion Pro"/>
          <w:iCs/>
        </w:rPr>
        <w:t>Manusia</w:t>
      </w:r>
      <w:proofErr w:type="spellEnd"/>
      <w:r w:rsidRPr="00E878FA">
        <w:rPr>
          <w:rFonts w:ascii="Minion Pro" w:hAnsi="Minion Pro"/>
          <w:iCs/>
        </w:rPr>
        <w:t xml:space="preserve"> (HAM), </w:t>
      </w:r>
      <w:proofErr w:type="spellStart"/>
      <w:r w:rsidRPr="00E878FA">
        <w:rPr>
          <w:rFonts w:ascii="Minion Pro" w:hAnsi="Minion Pro"/>
          <w:iCs/>
        </w:rPr>
        <w:t>termasuk</w:t>
      </w:r>
      <w:proofErr w:type="spellEnd"/>
      <w:r w:rsidRPr="00E878FA">
        <w:rPr>
          <w:rFonts w:ascii="Minion Pro" w:hAnsi="Minion Pro"/>
          <w:iCs/>
        </w:rPr>
        <w:t xml:space="preserve"> </w:t>
      </w:r>
      <w:proofErr w:type="spellStart"/>
      <w:r w:rsidRPr="00E878FA">
        <w:rPr>
          <w:rFonts w:ascii="Minion Pro" w:hAnsi="Minion Pro"/>
          <w:iCs/>
        </w:rPr>
        <w:t>hak-hak</w:t>
      </w:r>
      <w:proofErr w:type="spellEnd"/>
      <w:r w:rsidRPr="00E878FA">
        <w:rPr>
          <w:rFonts w:ascii="Minion Pro" w:hAnsi="Minion Pro"/>
          <w:iCs/>
        </w:rPr>
        <w:t xml:space="preserve"> </w:t>
      </w:r>
      <w:proofErr w:type="spellStart"/>
      <w:r w:rsidRPr="00E878FA">
        <w:rPr>
          <w:rFonts w:ascii="Minion Pro" w:hAnsi="Minion Pro"/>
          <w:iCs/>
        </w:rPr>
        <w:t>minoritas</w:t>
      </w:r>
      <w:proofErr w:type="spellEnd"/>
      <w:r w:rsidRPr="00E878FA">
        <w:rPr>
          <w:rFonts w:ascii="Minion Pro" w:hAnsi="Minion Pro"/>
          <w:iCs/>
        </w:rPr>
        <w:t xml:space="preserve">, </w:t>
      </w:r>
      <w:proofErr w:type="spellStart"/>
      <w:r w:rsidRPr="00E878FA">
        <w:rPr>
          <w:rFonts w:ascii="Minion Pro" w:hAnsi="Minion Pro"/>
          <w:iCs/>
        </w:rPr>
        <w:t>merupakan</w:t>
      </w:r>
      <w:proofErr w:type="spellEnd"/>
      <w:r w:rsidRPr="00E878FA">
        <w:rPr>
          <w:rFonts w:ascii="Minion Pro" w:hAnsi="Minion Pro"/>
          <w:iCs/>
        </w:rPr>
        <w:t xml:space="preserve"> </w:t>
      </w:r>
      <w:proofErr w:type="spellStart"/>
      <w:r w:rsidRPr="00E878FA">
        <w:rPr>
          <w:rFonts w:ascii="Minion Pro" w:hAnsi="Minion Pro"/>
          <w:iCs/>
        </w:rPr>
        <w:t>bagian</w:t>
      </w:r>
      <w:proofErr w:type="spellEnd"/>
      <w:r w:rsidRPr="00E878FA">
        <w:rPr>
          <w:rFonts w:ascii="Minion Pro" w:hAnsi="Minion Pro"/>
          <w:iCs/>
        </w:rPr>
        <w:t xml:space="preserve"> </w:t>
      </w:r>
      <w:proofErr w:type="spellStart"/>
      <w:r w:rsidRPr="00E878FA">
        <w:rPr>
          <w:rFonts w:ascii="Minion Pro" w:hAnsi="Minion Pro"/>
          <w:iCs/>
        </w:rPr>
        <w:t>intrinsik</w:t>
      </w:r>
      <w:proofErr w:type="spellEnd"/>
      <w:r w:rsidRPr="00E878FA">
        <w:rPr>
          <w:rFonts w:ascii="Minion Pro" w:hAnsi="Minion Pro"/>
          <w:iCs/>
        </w:rPr>
        <w:t xml:space="preserve"> </w:t>
      </w:r>
      <w:proofErr w:type="spellStart"/>
      <w:r w:rsidRPr="00E878FA">
        <w:rPr>
          <w:rFonts w:ascii="Minion Pro" w:hAnsi="Minion Pro"/>
          <w:iCs/>
        </w:rPr>
        <w:t>dari</w:t>
      </w:r>
      <w:proofErr w:type="spellEnd"/>
      <w:r w:rsidRPr="00E878FA">
        <w:rPr>
          <w:rFonts w:ascii="Minion Pro" w:hAnsi="Minion Pro"/>
          <w:iCs/>
        </w:rPr>
        <w:t xml:space="preserve"> </w:t>
      </w:r>
      <w:proofErr w:type="spellStart"/>
      <w:r w:rsidRPr="00E878FA">
        <w:rPr>
          <w:rFonts w:ascii="Minion Pro" w:hAnsi="Minion Pro"/>
          <w:iCs/>
        </w:rPr>
        <w:t>demokrasi</w:t>
      </w:r>
      <w:proofErr w:type="spellEnd"/>
      <w:r w:rsidRPr="00E878FA">
        <w:rPr>
          <w:rFonts w:ascii="Minion Pro" w:hAnsi="Minion Pro"/>
          <w:iCs/>
        </w:rPr>
        <w:t>.</w:t>
      </w:r>
      <w:r w:rsidRPr="00E878FA">
        <w:rPr>
          <w:rStyle w:val="FootnoteReference"/>
          <w:rFonts w:ascii="Minion Pro" w:hAnsi="Minion Pro"/>
          <w:iCs/>
        </w:rPr>
        <w:footnoteReference w:id="1"/>
      </w:r>
      <w:r w:rsidRPr="00E878FA">
        <w:rPr>
          <w:rFonts w:ascii="Minion Pro" w:hAnsi="Minion Pro"/>
          <w:iCs/>
        </w:rPr>
        <w:t xml:space="preserve"> </w:t>
      </w:r>
      <w:proofErr w:type="spellStart"/>
      <w:proofErr w:type="gramStart"/>
      <w:r w:rsidRPr="00E878FA">
        <w:rPr>
          <w:rFonts w:ascii="Minion Pro" w:hAnsi="Minion Pro"/>
          <w:iCs/>
        </w:rPr>
        <w:t>Dengan</w:t>
      </w:r>
      <w:proofErr w:type="spellEnd"/>
      <w:r w:rsidRPr="00E878FA">
        <w:rPr>
          <w:rFonts w:ascii="Minion Pro" w:hAnsi="Minion Pro"/>
          <w:iCs/>
        </w:rPr>
        <w:t xml:space="preserve"> </w:t>
      </w:r>
      <w:proofErr w:type="spellStart"/>
      <w:r w:rsidRPr="00E878FA">
        <w:rPr>
          <w:rFonts w:ascii="Minion Pro" w:hAnsi="Minion Pro"/>
          <w:iCs/>
        </w:rPr>
        <w:t>demikian</w:t>
      </w:r>
      <w:proofErr w:type="spellEnd"/>
      <w:r w:rsidRPr="00E878FA">
        <w:rPr>
          <w:rFonts w:ascii="Minion Pro" w:hAnsi="Minion Pro"/>
          <w:iCs/>
        </w:rPr>
        <w:t xml:space="preserve">, </w:t>
      </w:r>
      <w:proofErr w:type="spellStart"/>
      <w:r w:rsidRPr="00E878FA">
        <w:rPr>
          <w:rFonts w:ascii="Minion Pro" w:hAnsi="Minion Pro"/>
          <w:iCs/>
        </w:rPr>
        <w:t>sebagai</w:t>
      </w:r>
      <w:proofErr w:type="spellEnd"/>
      <w:r w:rsidRPr="00E878FA">
        <w:rPr>
          <w:rFonts w:ascii="Minion Pro" w:hAnsi="Minion Pro"/>
          <w:iCs/>
        </w:rPr>
        <w:t xml:space="preserve"> </w:t>
      </w:r>
      <w:proofErr w:type="spellStart"/>
      <w:r w:rsidRPr="00E878FA">
        <w:rPr>
          <w:rFonts w:ascii="Minion Pro" w:hAnsi="Minion Pro"/>
          <w:iCs/>
        </w:rPr>
        <w:t>negara</w:t>
      </w:r>
      <w:proofErr w:type="spellEnd"/>
      <w:r w:rsidRPr="00E878FA">
        <w:rPr>
          <w:rFonts w:ascii="Minion Pro" w:hAnsi="Minion Pro"/>
          <w:iCs/>
        </w:rPr>
        <w:t xml:space="preserve"> </w:t>
      </w:r>
      <w:proofErr w:type="spellStart"/>
      <w:r w:rsidRPr="00E878FA">
        <w:rPr>
          <w:rFonts w:ascii="Minion Pro" w:hAnsi="Minion Pro"/>
          <w:iCs/>
        </w:rPr>
        <w:t>demokratis</w:t>
      </w:r>
      <w:proofErr w:type="spellEnd"/>
      <w:r w:rsidRPr="00E878FA">
        <w:rPr>
          <w:rFonts w:ascii="Minion Pro" w:hAnsi="Minion Pro"/>
          <w:iCs/>
        </w:rPr>
        <w:t xml:space="preserve">, Indonesia </w:t>
      </w:r>
      <w:proofErr w:type="spellStart"/>
      <w:r w:rsidRPr="00E878FA">
        <w:rPr>
          <w:rFonts w:ascii="Minion Pro" w:hAnsi="Minion Pro"/>
          <w:iCs/>
        </w:rPr>
        <w:t>harus</w:t>
      </w:r>
      <w:proofErr w:type="spellEnd"/>
      <w:r w:rsidRPr="00E878FA">
        <w:rPr>
          <w:rFonts w:ascii="Minion Pro" w:hAnsi="Minion Pro"/>
          <w:iCs/>
        </w:rPr>
        <w:t xml:space="preserve"> </w:t>
      </w:r>
      <w:proofErr w:type="spellStart"/>
      <w:r w:rsidRPr="00E878FA">
        <w:rPr>
          <w:rFonts w:ascii="Minion Pro" w:hAnsi="Minion Pro"/>
          <w:iCs/>
        </w:rPr>
        <w:t>menjadikan</w:t>
      </w:r>
      <w:proofErr w:type="spellEnd"/>
      <w:r w:rsidRPr="00E878FA">
        <w:rPr>
          <w:rFonts w:ascii="Minion Pro" w:hAnsi="Minion Pro"/>
          <w:iCs/>
        </w:rPr>
        <w:t xml:space="preserve"> </w:t>
      </w:r>
      <w:proofErr w:type="spellStart"/>
      <w:r w:rsidRPr="00E878FA">
        <w:rPr>
          <w:rFonts w:ascii="Minion Pro" w:hAnsi="Minion Pro"/>
          <w:iCs/>
        </w:rPr>
        <w:t>hak-hak</w:t>
      </w:r>
      <w:proofErr w:type="spellEnd"/>
      <w:r w:rsidRPr="00E878FA">
        <w:rPr>
          <w:rFonts w:ascii="Minion Pro" w:hAnsi="Minion Pro"/>
          <w:iCs/>
        </w:rPr>
        <w:t xml:space="preserve"> </w:t>
      </w:r>
      <w:proofErr w:type="spellStart"/>
      <w:r w:rsidRPr="00E878FA">
        <w:rPr>
          <w:rFonts w:ascii="Minion Pro" w:hAnsi="Minion Pro"/>
          <w:iCs/>
        </w:rPr>
        <w:t>minoritas</w:t>
      </w:r>
      <w:proofErr w:type="spellEnd"/>
      <w:r w:rsidRPr="00E878FA">
        <w:rPr>
          <w:rFonts w:ascii="Minion Pro" w:hAnsi="Minion Pro"/>
          <w:iCs/>
        </w:rPr>
        <w:t xml:space="preserve"> </w:t>
      </w:r>
      <w:proofErr w:type="spellStart"/>
      <w:r w:rsidRPr="00E878FA">
        <w:rPr>
          <w:rFonts w:ascii="Minion Pro" w:hAnsi="Minion Pro"/>
          <w:iCs/>
        </w:rPr>
        <w:t>sebagai</w:t>
      </w:r>
      <w:proofErr w:type="spellEnd"/>
      <w:r w:rsidRPr="00E878FA">
        <w:rPr>
          <w:rFonts w:ascii="Minion Pro" w:hAnsi="Minion Pro"/>
          <w:iCs/>
        </w:rPr>
        <w:t xml:space="preserve"> </w:t>
      </w:r>
      <w:proofErr w:type="spellStart"/>
      <w:r w:rsidRPr="00E878FA">
        <w:rPr>
          <w:rFonts w:ascii="Minion Pro" w:hAnsi="Minion Pro"/>
          <w:iCs/>
        </w:rPr>
        <w:t>bagian</w:t>
      </w:r>
      <w:proofErr w:type="spellEnd"/>
      <w:r w:rsidRPr="00E878FA">
        <w:rPr>
          <w:rFonts w:ascii="Minion Pro" w:hAnsi="Minion Pro"/>
          <w:iCs/>
        </w:rPr>
        <w:t xml:space="preserve"> </w:t>
      </w:r>
      <w:proofErr w:type="spellStart"/>
      <w:r w:rsidRPr="00E878FA">
        <w:rPr>
          <w:rFonts w:ascii="Minion Pro" w:hAnsi="Minion Pro"/>
          <w:iCs/>
        </w:rPr>
        <w:t>tak</w:t>
      </w:r>
      <w:proofErr w:type="spellEnd"/>
      <w:r w:rsidRPr="00E878FA">
        <w:rPr>
          <w:rFonts w:ascii="Minion Pro" w:hAnsi="Minion Pro"/>
          <w:iCs/>
        </w:rPr>
        <w:t xml:space="preserve"> </w:t>
      </w:r>
      <w:proofErr w:type="spellStart"/>
      <w:r w:rsidRPr="00E878FA">
        <w:rPr>
          <w:rFonts w:ascii="Minion Pro" w:hAnsi="Minion Pro"/>
          <w:iCs/>
        </w:rPr>
        <w:t>terpisahkan</w:t>
      </w:r>
      <w:proofErr w:type="spellEnd"/>
      <w:r w:rsidRPr="00E878FA">
        <w:rPr>
          <w:rFonts w:ascii="Minion Pro" w:hAnsi="Minion Pro"/>
          <w:iCs/>
        </w:rPr>
        <w:t xml:space="preserve"> </w:t>
      </w:r>
      <w:proofErr w:type="spellStart"/>
      <w:r w:rsidRPr="00E878FA">
        <w:rPr>
          <w:rFonts w:ascii="Minion Pro" w:hAnsi="Minion Pro"/>
          <w:iCs/>
        </w:rPr>
        <w:t>dari</w:t>
      </w:r>
      <w:proofErr w:type="spellEnd"/>
      <w:r w:rsidRPr="00E878FA">
        <w:rPr>
          <w:rFonts w:ascii="Minion Pro" w:hAnsi="Minion Pro"/>
          <w:iCs/>
        </w:rPr>
        <w:t xml:space="preserve"> </w:t>
      </w:r>
      <w:proofErr w:type="spellStart"/>
      <w:r w:rsidRPr="00E878FA">
        <w:rPr>
          <w:rFonts w:ascii="Minion Pro" w:hAnsi="Minion Pro"/>
          <w:iCs/>
        </w:rPr>
        <w:t>sistem</w:t>
      </w:r>
      <w:proofErr w:type="spellEnd"/>
      <w:r w:rsidRPr="00E878FA">
        <w:rPr>
          <w:rFonts w:ascii="Minion Pro" w:hAnsi="Minion Pro"/>
          <w:iCs/>
        </w:rPr>
        <w:t xml:space="preserve"> </w:t>
      </w:r>
      <w:proofErr w:type="spellStart"/>
      <w:r w:rsidRPr="00E878FA">
        <w:rPr>
          <w:rFonts w:ascii="Minion Pro" w:hAnsi="Minion Pro"/>
          <w:iCs/>
        </w:rPr>
        <w:t>politik</w:t>
      </w:r>
      <w:proofErr w:type="spellEnd"/>
      <w:r w:rsidRPr="00E878FA">
        <w:rPr>
          <w:rFonts w:ascii="Minion Pro" w:hAnsi="Minion Pro"/>
          <w:iCs/>
        </w:rPr>
        <w:t xml:space="preserve">, </w:t>
      </w:r>
      <w:proofErr w:type="spellStart"/>
      <w:r w:rsidRPr="00E878FA">
        <w:rPr>
          <w:rFonts w:ascii="Minion Pro" w:hAnsi="Minion Pro"/>
          <w:iCs/>
        </w:rPr>
        <w:t>hukum</w:t>
      </w:r>
      <w:proofErr w:type="spellEnd"/>
      <w:r w:rsidRPr="00E878FA">
        <w:rPr>
          <w:rFonts w:ascii="Minion Pro" w:hAnsi="Minion Pro"/>
          <w:iCs/>
        </w:rPr>
        <w:t xml:space="preserve">, </w:t>
      </w:r>
      <w:proofErr w:type="spellStart"/>
      <w:r w:rsidRPr="00E878FA">
        <w:rPr>
          <w:rFonts w:ascii="Minion Pro" w:hAnsi="Minion Pro"/>
          <w:iCs/>
        </w:rPr>
        <w:t>dan</w:t>
      </w:r>
      <w:proofErr w:type="spellEnd"/>
      <w:r w:rsidRPr="00E878FA">
        <w:rPr>
          <w:rFonts w:ascii="Minion Pro" w:hAnsi="Minion Pro"/>
          <w:iCs/>
        </w:rPr>
        <w:t xml:space="preserve"> </w:t>
      </w:r>
      <w:proofErr w:type="spellStart"/>
      <w:r w:rsidRPr="00E878FA">
        <w:rPr>
          <w:rFonts w:ascii="Minion Pro" w:hAnsi="Minion Pro"/>
          <w:iCs/>
        </w:rPr>
        <w:t>sosial</w:t>
      </w:r>
      <w:proofErr w:type="spellEnd"/>
      <w:r w:rsidRPr="00E878FA">
        <w:rPr>
          <w:rFonts w:ascii="Minion Pro" w:hAnsi="Minion Pro"/>
          <w:iCs/>
        </w:rPr>
        <w:t xml:space="preserve"> di </w:t>
      </w:r>
      <w:proofErr w:type="spellStart"/>
      <w:r w:rsidRPr="00E878FA">
        <w:rPr>
          <w:rFonts w:ascii="Minion Pro" w:hAnsi="Minion Pro"/>
          <w:iCs/>
        </w:rPr>
        <w:t>dalamnya</w:t>
      </w:r>
      <w:proofErr w:type="spellEnd"/>
      <w:r w:rsidRPr="00E878FA">
        <w:rPr>
          <w:rFonts w:ascii="Minion Pro" w:hAnsi="Minion Pro"/>
          <w:iCs/>
        </w:rPr>
        <w:t>.</w:t>
      </w:r>
      <w:proofErr w:type="gramEnd"/>
      <w:r w:rsidRPr="00E878FA">
        <w:rPr>
          <w:rFonts w:ascii="Minion Pro" w:hAnsi="Minion Pro"/>
          <w:iCs/>
        </w:rPr>
        <w:t xml:space="preserve">  </w:t>
      </w:r>
    </w:p>
    <w:p w:rsidR="009E0B2B" w:rsidRPr="00E878FA" w:rsidRDefault="009E0B2B" w:rsidP="009E0B2B">
      <w:pPr>
        <w:pStyle w:val="ListParagraph"/>
        <w:spacing w:before="240" w:after="0" w:line="240" w:lineRule="auto"/>
        <w:ind w:left="284" w:firstLine="567"/>
        <w:jc w:val="both"/>
        <w:rPr>
          <w:rFonts w:ascii="Minion Pro" w:hAnsi="Minion Pro"/>
        </w:rPr>
      </w:pPr>
      <w:proofErr w:type="spellStart"/>
      <w:proofErr w:type="gramStart"/>
      <w:r w:rsidRPr="00E878FA">
        <w:rPr>
          <w:rFonts w:ascii="Minion Pro" w:hAnsi="Minion Pro"/>
          <w:i/>
          <w:iCs/>
        </w:rPr>
        <w:t>Kedua</w:t>
      </w:r>
      <w:proofErr w:type="spellEnd"/>
      <w:r w:rsidRPr="00E878FA">
        <w:rPr>
          <w:rFonts w:ascii="Minion Pro" w:hAnsi="Minion Pro"/>
          <w:i/>
          <w:iCs/>
        </w:rPr>
        <w:t>,</w:t>
      </w:r>
      <w:r w:rsidRPr="00E878FA">
        <w:rPr>
          <w:rFonts w:ascii="Minion Pro" w:hAnsi="Minion Pro"/>
          <w:iCs/>
        </w:rPr>
        <w:t xml:space="preserve"> </w:t>
      </w:r>
      <w:proofErr w:type="spellStart"/>
      <w:r w:rsidRPr="00E878FA">
        <w:rPr>
          <w:rFonts w:ascii="Minion Pro" w:hAnsi="Minion Pro"/>
          <w:iCs/>
        </w:rPr>
        <w:t>secara</w:t>
      </w:r>
      <w:proofErr w:type="spellEnd"/>
      <w:r w:rsidRPr="00E878FA">
        <w:rPr>
          <w:rFonts w:ascii="Minion Pro" w:hAnsi="Minion Pro"/>
          <w:iCs/>
        </w:rPr>
        <w:t xml:space="preserve"> </w:t>
      </w:r>
      <w:proofErr w:type="spellStart"/>
      <w:r w:rsidRPr="00E878FA">
        <w:rPr>
          <w:rFonts w:ascii="Minion Pro" w:hAnsi="Minion Pro"/>
          <w:iCs/>
        </w:rPr>
        <w:t>filosofis</w:t>
      </w:r>
      <w:proofErr w:type="spellEnd"/>
      <w:r w:rsidRPr="00E878FA">
        <w:rPr>
          <w:rFonts w:ascii="Minion Pro" w:hAnsi="Minion Pro"/>
          <w:iCs/>
        </w:rPr>
        <w:t xml:space="preserve"> </w:t>
      </w:r>
      <w:proofErr w:type="spellStart"/>
      <w:r w:rsidRPr="00E878FA">
        <w:rPr>
          <w:rFonts w:ascii="Minion Pro" w:hAnsi="Minion Pro"/>
        </w:rPr>
        <w:t>cita</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Indonesia </w:t>
      </w:r>
      <w:proofErr w:type="spellStart"/>
      <w:r w:rsidRPr="00E878FA">
        <w:rPr>
          <w:rFonts w:ascii="Minion Pro" w:hAnsi="Minion Pro"/>
        </w:rPr>
        <w:t>merdeka</w:t>
      </w:r>
      <w:proofErr w:type="spellEnd"/>
      <w:r w:rsidRPr="00E878FA">
        <w:rPr>
          <w:rFonts w:ascii="Minion Pro" w:hAnsi="Minion Pro"/>
        </w:rPr>
        <w:t xml:space="preserve"> </w:t>
      </w:r>
      <w:proofErr w:type="spellStart"/>
      <w:r w:rsidRPr="00E878FA">
        <w:rPr>
          <w:rFonts w:ascii="Minion Pro" w:hAnsi="Minion Pro"/>
        </w:rPr>
        <w:t>adalah</w:t>
      </w:r>
      <w:proofErr w:type="spellEnd"/>
      <w:r w:rsidRPr="00E878FA">
        <w:rPr>
          <w:rFonts w:ascii="Minion Pro" w:hAnsi="Minion Pro"/>
        </w:rPr>
        <w:t xml:space="preserve"> </w:t>
      </w:r>
      <w:proofErr w:type="spellStart"/>
      <w:r w:rsidRPr="00E878FA">
        <w:rPr>
          <w:rFonts w:ascii="Minion Pro" w:hAnsi="Minion Pro"/>
        </w:rPr>
        <w:t>semua</w:t>
      </w:r>
      <w:proofErr w:type="spellEnd"/>
      <w:r w:rsidRPr="00E878FA">
        <w:rPr>
          <w:rFonts w:ascii="Minion Pro" w:hAnsi="Minion Pro"/>
        </w:rPr>
        <w:t xml:space="preserve"> </w:t>
      </w:r>
      <w:proofErr w:type="spellStart"/>
      <w:r w:rsidRPr="00E878FA">
        <w:rPr>
          <w:rFonts w:ascii="Minion Pro" w:hAnsi="Minion Pro"/>
        </w:rPr>
        <w:t>untuk</w:t>
      </w:r>
      <w:proofErr w:type="spellEnd"/>
      <w:r w:rsidRPr="00E878FA">
        <w:rPr>
          <w:rFonts w:ascii="Minion Pro" w:hAnsi="Minion Pro"/>
        </w:rPr>
        <w:t xml:space="preserve"> </w:t>
      </w:r>
      <w:proofErr w:type="spellStart"/>
      <w:r w:rsidRPr="00E878FA">
        <w:rPr>
          <w:rFonts w:ascii="Minion Pro" w:hAnsi="Minion Pro"/>
        </w:rPr>
        <w:t>satu</w:t>
      </w:r>
      <w:proofErr w:type="spellEnd"/>
      <w:r w:rsidRPr="00E878FA">
        <w:rPr>
          <w:rFonts w:ascii="Minion Pro" w:hAnsi="Minion Pro"/>
        </w:rPr>
        <w:t xml:space="preserve"> (Indonesia), </w:t>
      </w:r>
      <w:proofErr w:type="spellStart"/>
      <w:r w:rsidRPr="00E878FA">
        <w:rPr>
          <w:rFonts w:ascii="Minion Pro" w:hAnsi="Minion Pro"/>
        </w:rPr>
        <w:t>satu</w:t>
      </w:r>
      <w:proofErr w:type="spellEnd"/>
      <w:r w:rsidRPr="00E878FA">
        <w:rPr>
          <w:rFonts w:ascii="Minion Pro" w:hAnsi="Minion Pro"/>
        </w:rPr>
        <w:t xml:space="preserve"> </w:t>
      </w:r>
      <w:proofErr w:type="spellStart"/>
      <w:r w:rsidRPr="00E878FA">
        <w:rPr>
          <w:rFonts w:ascii="Minion Pro" w:hAnsi="Minion Pro"/>
        </w:rPr>
        <w:t>untuk</w:t>
      </w:r>
      <w:proofErr w:type="spellEnd"/>
      <w:r w:rsidRPr="00E878FA">
        <w:rPr>
          <w:rFonts w:ascii="Minion Pro" w:hAnsi="Minion Pro"/>
        </w:rPr>
        <w:t xml:space="preserve"> </w:t>
      </w:r>
      <w:proofErr w:type="spellStart"/>
      <w:r w:rsidRPr="00E878FA">
        <w:rPr>
          <w:rFonts w:ascii="Minion Pro" w:hAnsi="Minion Pro"/>
        </w:rPr>
        <w:t>semua</w:t>
      </w:r>
      <w:proofErr w:type="spellEnd"/>
      <w:r w:rsidRPr="00E878FA">
        <w:rPr>
          <w:rFonts w:ascii="Minion Pro" w:hAnsi="Minion Pro"/>
        </w:rPr>
        <w:t>.</w:t>
      </w:r>
      <w:proofErr w:type="gramEnd"/>
      <w:r w:rsidRPr="00E878FA">
        <w:rPr>
          <w:rFonts w:ascii="Minion Pro" w:hAnsi="Minion Pro"/>
        </w:rPr>
        <w:t xml:space="preserve"> </w:t>
      </w:r>
      <w:proofErr w:type="spellStart"/>
      <w:proofErr w:type="gramStart"/>
      <w:r w:rsidRPr="00E878FA">
        <w:rPr>
          <w:rFonts w:ascii="Minion Pro" w:hAnsi="Minion Pro"/>
        </w:rPr>
        <w:t>Pancasila</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semboyan</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w:t>
      </w:r>
      <w:proofErr w:type="spellStart"/>
      <w:r w:rsidRPr="00E878FA">
        <w:rPr>
          <w:rFonts w:ascii="Minion Pro" w:hAnsi="Minion Pro"/>
        </w:rPr>
        <w:t>Bhinneka</w:t>
      </w:r>
      <w:proofErr w:type="spellEnd"/>
      <w:r w:rsidRPr="00E878FA">
        <w:rPr>
          <w:rFonts w:ascii="Minion Pro" w:hAnsi="Minion Pro"/>
        </w:rPr>
        <w:t xml:space="preserve"> Tunggal </w:t>
      </w:r>
      <w:proofErr w:type="spellStart"/>
      <w:r w:rsidRPr="00E878FA">
        <w:rPr>
          <w:rFonts w:ascii="Minion Pro" w:hAnsi="Minion Pro"/>
        </w:rPr>
        <w:t>Ika</w:t>
      </w:r>
      <w:proofErr w:type="spellEnd"/>
      <w:r w:rsidRPr="00E878FA">
        <w:rPr>
          <w:rFonts w:ascii="Minion Pro" w:hAnsi="Minion Pro"/>
        </w:rPr>
        <w:t xml:space="preserve"> </w:t>
      </w:r>
      <w:proofErr w:type="spellStart"/>
      <w:r w:rsidRPr="00E878FA">
        <w:rPr>
          <w:rFonts w:ascii="Minion Pro" w:hAnsi="Minion Pro"/>
        </w:rPr>
        <w:t>telah</w:t>
      </w:r>
      <w:proofErr w:type="spellEnd"/>
      <w:r w:rsidRPr="00E878FA">
        <w:rPr>
          <w:rFonts w:ascii="Minion Pro" w:hAnsi="Minion Pro"/>
        </w:rPr>
        <w:t xml:space="preserve">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tegas</w:t>
      </w:r>
      <w:proofErr w:type="spellEnd"/>
      <w:r w:rsidRPr="00E878FA">
        <w:rPr>
          <w:rFonts w:ascii="Minion Pro" w:hAnsi="Minion Pro"/>
        </w:rPr>
        <w:t xml:space="preserve"> </w:t>
      </w:r>
      <w:proofErr w:type="spellStart"/>
      <w:r w:rsidRPr="00E878FA">
        <w:rPr>
          <w:rFonts w:ascii="Minion Pro" w:hAnsi="Minion Pro"/>
        </w:rPr>
        <w:t>membayangkan</w:t>
      </w:r>
      <w:proofErr w:type="spellEnd"/>
      <w:r w:rsidRPr="00E878FA">
        <w:rPr>
          <w:rFonts w:ascii="Minion Pro" w:hAnsi="Minion Pro"/>
        </w:rPr>
        <w:t xml:space="preserve"> </w:t>
      </w:r>
      <w:proofErr w:type="spellStart"/>
      <w:r w:rsidRPr="00E878FA">
        <w:rPr>
          <w:rFonts w:ascii="Minion Pro" w:hAnsi="Minion Pro"/>
        </w:rPr>
        <w:t>politik</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yang </w:t>
      </w:r>
      <w:proofErr w:type="spellStart"/>
      <w:r w:rsidRPr="00E878FA">
        <w:rPr>
          <w:rFonts w:ascii="Minion Pro" w:hAnsi="Minion Pro"/>
        </w:rPr>
        <w:t>terbuka</w:t>
      </w:r>
      <w:proofErr w:type="spellEnd"/>
      <w:r w:rsidRPr="00E878FA">
        <w:rPr>
          <w:rFonts w:ascii="Minion Pro" w:hAnsi="Minion Pro"/>
        </w:rPr>
        <w:t xml:space="preserve"> </w:t>
      </w:r>
      <w:proofErr w:type="spellStart"/>
      <w:r w:rsidRPr="00E878FA">
        <w:rPr>
          <w:rFonts w:ascii="Minion Pro" w:hAnsi="Minion Pro"/>
        </w:rPr>
        <w:t>untuk</w:t>
      </w:r>
      <w:proofErr w:type="spellEnd"/>
      <w:r w:rsidRPr="00E878FA">
        <w:rPr>
          <w:rFonts w:ascii="Minion Pro" w:hAnsi="Minion Pro"/>
        </w:rPr>
        <w:t xml:space="preserve"> </w:t>
      </w:r>
      <w:proofErr w:type="spellStart"/>
      <w:r w:rsidRPr="00E878FA">
        <w:rPr>
          <w:rFonts w:ascii="Minion Pro" w:hAnsi="Minion Pro"/>
        </w:rPr>
        <w:t>seluruh</w:t>
      </w:r>
      <w:proofErr w:type="spellEnd"/>
      <w:r w:rsidRPr="00E878FA">
        <w:rPr>
          <w:rFonts w:ascii="Minion Pro" w:hAnsi="Minion Pro"/>
        </w:rPr>
        <w:t xml:space="preserve"> </w:t>
      </w:r>
      <w:proofErr w:type="spellStart"/>
      <w:r w:rsidRPr="00E878FA">
        <w:rPr>
          <w:rFonts w:ascii="Minion Pro" w:hAnsi="Minion Pro"/>
        </w:rPr>
        <w:t>anasir</w:t>
      </w:r>
      <w:proofErr w:type="spellEnd"/>
      <w:r w:rsidRPr="00E878FA">
        <w:rPr>
          <w:rFonts w:ascii="Minion Pro" w:hAnsi="Minion Pro"/>
        </w:rPr>
        <w:t xml:space="preserve"> </w:t>
      </w:r>
      <w:proofErr w:type="spellStart"/>
      <w:r w:rsidRPr="00E878FA">
        <w:rPr>
          <w:rFonts w:ascii="Minion Pro" w:hAnsi="Minion Pro"/>
        </w:rPr>
        <w:t>pembentuk</w:t>
      </w:r>
      <w:proofErr w:type="spellEnd"/>
      <w:r w:rsidRPr="00E878FA">
        <w:rPr>
          <w:rFonts w:ascii="Minion Pro" w:hAnsi="Minion Pro"/>
        </w:rPr>
        <w:t xml:space="preserve"> </w:t>
      </w:r>
      <w:proofErr w:type="spellStart"/>
      <w:r w:rsidRPr="00E878FA">
        <w:rPr>
          <w:rFonts w:ascii="Minion Pro" w:hAnsi="Minion Pro"/>
        </w:rPr>
        <w:t>negara-bangsa</w:t>
      </w:r>
      <w:proofErr w:type="spellEnd"/>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satuan</w:t>
      </w:r>
      <w:proofErr w:type="spellEnd"/>
      <w:r w:rsidRPr="00E878FA">
        <w:rPr>
          <w:rFonts w:ascii="Minion Pro" w:hAnsi="Minion Pro"/>
        </w:rPr>
        <w:t xml:space="preserve"> yang </w:t>
      </w:r>
      <w:proofErr w:type="spellStart"/>
      <w:r w:rsidRPr="00E878FA">
        <w:rPr>
          <w:rFonts w:ascii="Minion Pro" w:hAnsi="Minion Pro"/>
        </w:rPr>
        <w:t>besar</w:t>
      </w:r>
      <w:proofErr w:type="spellEnd"/>
      <w:r w:rsidRPr="00E878FA">
        <w:rPr>
          <w:rFonts w:ascii="Minion Pro" w:hAnsi="Minion Pro"/>
        </w:rPr>
        <w:t xml:space="preserve"> </w:t>
      </w:r>
      <w:proofErr w:type="spellStart"/>
      <w:r w:rsidRPr="00E878FA">
        <w:rPr>
          <w:rFonts w:ascii="Minion Pro" w:hAnsi="Minion Pro"/>
        </w:rPr>
        <w:t>maupun</w:t>
      </w:r>
      <w:proofErr w:type="spellEnd"/>
      <w:r w:rsidRPr="00E878FA">
        <w:rPr>
          <w:rFonts w:ascii="Minion Pro" w:hAnsi="Minion Pro"/>
        </w:rPr>
        <w:t xml:space="preserve"> </w:t>
      </w:r>
      <w:proofErr w:type="spellStart"/>
      <w:r w:rsidRPr="00E878FA">
        <w:rPr>
          <w:rFonts w:ascii="Minion Pro" w:hAnsi="Minion Pro"/>
        </w:rPr>
        <w:t>kecil</w:t>
      </w:r>
      <w:proofErr w:type="spellEnd"/>
      <w:r w:rsidRPr="00E878FA">
        <w:rPr>
          <w:rFonts w:ascii="Minion Pro" w:hAnsi="Minion Pro"/>
        </w:rPr>
        <w:t xml:space="preserve">, </w:t>
      </w:r>
      <w:proofErr w:type="spellStart"/>
      <w:r w:rsidRPr="00E878FA">
        <w:rPr>
          <w:rFonts w:ascii="Minion Pro" w:hAnsi="Minion Pro"/>
        </w:rPr>
        <w:t>banyak</w:t>
      </w:r>
      <w:proofErr w:type="spellEnd"/>
      <w:r w:rsidRPr="00E878FA">
        <w:rPr>
          <w:rFonts w:ascii="Minion Pro" w:hAnsi="Minion Pro"/>
        </w:rPr>
        <w:t xml:space="preserve"> </w:t>
      </w:r>
      <w:proofErr w:type="spellStart"/>
      <w:r w:rsidRPr="00E878FA">
        <w:rPr>
          <w:rFonts w:ascii="Minion Pro" w:hAnsi="Minion Pro"/>
        </w:rPr>
        <w:t>ataupun</w:t>
      </w:r>
      <w:proofErr w:type="spellEnd"/>
      <w:r w:rsidRPr="00E878FA">
        <w:rPr>
          <w:rFonts w:ascii="Minion Pro" w:hAnsi="Minion Pro"/>
        </w:rPr>
        <w:t xml:space="preserve"> </w:t>
      </w:r>
      <w:proofErr w:type="spellStart"/>
      <w:r w:rsidRPr="00E878FA">
        <w:rPr>
          <w:rFonts w:ascii="Minion Pro" w:hAnsi="Minion Pro"/>
        </w:rPr>
        <w:t>sedikit</w:t>
      </w:r>
      <w:proofErr w:type="spellEnd"/>
      <w:r w:rsidRPr="00E878FA">
        <w:rPr>
          <w:rFonts w:ascii="Minion Pro" w:hAnsi="Minion Pro"/>
        </w:rPr>
        <w:t>.</w:t>
      </w:r>
      <w:proofErr w:type="gramEnd"/>
      <w:r w:rsidRPr="00E878FA">
        <w:rPr>
          <w:rFonts w:ascii="Minion Pro" w:hAnsi="Minion Pro"/>
        </w:rPr>
        <w:t xml:space="preserve"> </w:t>
      </w:r>
      <w:proofErr w:type="spellStart"/>
      <w:r w:rsidRPr="00E878FA">
        <w:rPr>
          <w:rFonts w:ascii="Minion Pro" w:hAnsi="Minion Pro"/>
        </w:rPr>
        <w:t>Pasal-pasal</w:t>
      </w:r>
      <w:proofErr w:type="spellEnd"/>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konstitusi</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UUD </w:t>
      </w:r>
      <w:proofErr w:type="spellStart"/>
      <w:r w:rsidRPr="00E878FA">
        <w:rPr>
          <w:rFonts w:ascii="Minion Pro" w:hAnsi="Minion Pro"/>
        </w:rPr>
        <w:t>tahun</w:t>
      </w:r>
      <w:proofErr w:type="spellEnd"/>
      <w:r w:rsidRPr="00E878FA">
        <w:rPr>
          <w:rFonts w:ascii="Minion Pro" w:hAnsi="Minion Pro"/>
        </w:rPr>
        <w:t xml:space="preserve"> 1945, </w:t>
      </w:r>
      <w:proofErr w:type="spellStart"/>
      <w:r w:rsidRPr="00E878FA">
        <w:rPr>
          <w:rFonts w:ascii="Minion Pro" w:hAnsi="Minion Pro"/>
        </w:rPr>
        <w:t>baik</w:t>
      </w:r>
      <w:proofErr w:type="spellEnd"/>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bentuknya</w:t>
      </w:r>
      <w:proofErr w:type="spellEnd"/>
      <w:r w:rsidRPr="00E878FA">
        <w:rPr>
          <w:rFonts w:ascii="Minion Pro" w:hAnsi="Minion Pro"/>
        </w:rPr>
        <w:t xml:space="preserve"> </w:t>
      </w:r>
      <w:proofErr w:type="spellStart"/>
      <w:r w:rsidRPr="00E878FA">
        <w:rPr>
          <w:rFonts w:ascii="Minion Pro" w:hAnsi="Minion Pro"/>
        </w:rPr>
        <w:t>sebagai</w:t>
      </w:r>
      <w:proofErr w:type="spellEnd"/>
      <w:r w:rsidRPr="00E878FA">
        <w:rPr>
          <w:rFonts w:ascii="Minion Pro" w:hAnsi="Minion Pro"/>
        </w:rPr>
        <w:t xml:space="preserve"> </w:t>
      </w:r>
      <w:proofErr w:type="spellStart"/>
      <w:r w:rsidRPr="00E878FA">
        <w:rPr>
          <w:rFonts w:ascii="Minion Pro" w:hAnsi="Minion Pro"/>
          <w:i/>
        </w:rPr>
        <w:t>rechtsidee</w:t>
      </w:r>
      <w:proofErr w:type="spellEnd"/>
      <w:r w:rsidRPr="00E878FA">
        <w:rPr>
          <w:rFonts w:ascii="Minion Pro" w:hAnsi="Minion Pro"/>
        </w:rPr>
        <w:t xml:space="preserve"> </w:t>
      </w:r>
      <w:proofErr w:type="spellStart"/>
      <w:r w:rsidRPr="00E878FA">
        <w:rPr>
          <w:rFonts w:ascii="Minion Pro" w:hAnsi="Minion Pro"/>
        </w:rPr>
        <w:t>maupun</w:t>
      </w:r>
      <w:proofErr w:type="spellEnd"/>
      <w:r w:rsidRPr="00E878FA">
        <w:rPr>
          <w:rFonts w:ascii="Minion Pro" w:hAnsi="Minion Pro"/>
        </w:rPr>
        <w:t xml:space="preserve"> </w:t>
      </w:r>
      <w:proofErr w:type="spellStart"/>
      <w:r w:rsidRPr="00E878FA">
        <w:rPr>
          <w:rFonts w:ascii="Minion Pro" w:hAnsi="Minion Pro"/>
          <w:i/>
        </w:rPr>
        <w:t>staat</w:t>
      </w:r>
      <w:proofErr w:type="spellEnd"/>
      <w:r w:rsidRPr="00E878FA">
        <w:rPr>
          <w:rFonts w:ascii="Minion Pro" w:hAnsi="Minion Pro"/>
          <w:i/>
        </w:rPr>
        <w:t xml:space="preserve"> </w:t>
      </w:r>
      <w:proofErr w:type="spellStart"/>
      <w:r w:rsidRPr="00E878FA">
        <w:rPr>
          <w:rFonts w:ascii="Minion Pro" w:hAnsi="Minion Pro"/>
          <w:i/>
        </w:rPr>
        <w:t>fundamentalnorm</w:t>
      </w:r>
      <w:proofErr w:type="spellEnd"/>
      <w:r w:rsidRPr="00E878FA">
        <w:rPr>
          <w:rFonts w:ascii="Minion Pro" w:hAnsi="Minion Pro"/>
        </w:rPr>
        <w:t xml:space="preserve"> </w:t>
      </w:r>
      <w:proofErr w:type="spellStart"/>
      <w:r w:rsidRPr="00E878FA">
        <w:rPr>
          <w:rFonts w:ascii="Minion Pro" w:hAnsi="Minion Pro"/>
        </w:rPr>
        <w:t>meneguhkan</w:t>
      </w:r>
      <w:proofErr w:type="spellEnd"/>
      <w:r w:rsidRPr="00E878FA">
        <w:rPr>
          <w:rFonts w:ascii="Minion Pro" w:hAnsi="Minion Pro"/>
        </w:rPr>
        <w:t xml:space="preserve"> </w:t>
      </w:r>
      <w:proofErr w:type="spellStart"/>
      <w:r w:rsidRPr="00E878FA">
        <w:rPr>
          <w:rFonts w:ascii="Minion Pro" w:hAnsi="Minion Pro"/>
        </w:rPr>
        <w:t>kerangka</w:t>
      </w:r>
      <w:proofErr w:type="spellEnd"/>
      <w:r w:rsidRPr="00E878FA">
        <w:rPr>
          <w:rFonts w:ascii="Minion Pro" w:hAnsi="Minion Pro"/>
        </w:rPr>
        <w:t xml:space="preserve"> </w:t>
      </w:r>
      <w:proofErr w:type="spellStart"/>
      <w:r w:rsidRPr="00E878FA">
        <w:rPr>
          <w:rFonts w:ascii="Minion Pro" w:hAnsi="Minion Pro"/>
        </w:rPr>
        <w:t>dasar</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w:t>
      </w:r>
      <w:proofErr w:type="spellStart"/>
      <w:r w:rsidRPr="00E878FA">
        <w:rPr>
          <w:rFonts w:ascii="Minion Pro" w:hAnsi="Minion Pro"/>
        </w:rPr>
        <w:t>semua</w:t>
      </w:r>
      <w:proofErr w:type="spellEnd"/>
      <w:r w:rsidRPr="00E878FA">
        <w:rPr>
          <w:rFonts w:ascii="Minion Pro" w:hAnsi="Minion Pro"/>
        </w:rPr>
        <w:t xml:space="preserve"> </w:t>
      </w:r>
      <w:proofErr w:type="spellStart"/>
      <w:r w:rsidRPr="00E878FA">
        <w:rPr>
          <w:rFonts w:ascii="Minion Pro" w:hAnsi="Minion Pro"/>
        </w:rPr>
        <w:t>untuk</w:t>
      </w:r>
      <w:proofErr w:type="spellEnd"/>
      <w:r w:rsidRPr="00E878FA">
        <w:rPr>
          <w:rFonts w:ascii="Minion Pro" w:hAnsi="Minion Pro"/>
        </w:rPr>
        <w:t xml:space="preserve"> </w:t>
      </w:r>
      <w:proofErr w:type="spellStart"/>
      <w:r w:rsidRPr="00E878FA">
        <w:rPr>
          <w:rFonts w:ascii="Minion Pro" w:hAnsi="Minion Pro"/>
        </w:rPr>
        <w:t>semua</w:t>
      </w:r>
      <w:proofErr w:type="spellEnd"/>
      <w:r w:rsidRPr="00E878FA">
        <w:rPr>
          <w:rFonts w:ascii="Minion Pro" w:hAnsi="Minion Pro"/>
        </w:rPr>
        <w:t xml:space="preserve">”, </w:t>
      </w:r>
      <w:proofErr w:type="spellStart"/>
      <w:r w:rsidRPr="00E878FA">
        <w:rPr>
          <w:rFonts w:ascii="Minion Pro" w:hAnsi="Minion Pro"/>
        </w:rPr>
        <w:t>seperti</w:t>
      </w:r>
      <w:proofErr w:type="spellEnd"/>
      <w:r w:rsidRPr="00E878FA">
        <w:rPr>
          <w:rFonts w:ascii="Minion Pro" w:hAnsi="Minion Pro"/>
        </w:rPr>
        <w:t xml:space="preserve"> yang </w:t>
      </w:r>
      <w:proofErr w:type="spellStart"/>
      <w:r w:rsidRPr="00E878FA">
        <w:rPr>
          <w:rFonts w:ascii="Minion Pro" w:hAnsi="Minion Pro"/>
        </w:rPr>
        <w:t>diidealkan</w:t>
      </w:r>
      <w:proofErr w:type="spellEnd"/>
      <w:r w:rsidRPr="00E878FA">
        <w:rPr>
          <w:rFonts w:ascii="Minion Pro" w:hAnsi="Minion Pro"/>
        </w:rPr>
        <w:t xml:space="preserve"> </w:t>
      </w:r>
      <w:proofErr w:type="spellStart"/>
      <w:r w:rsidRPr="00E878FA">
        <w:rPr>
          <w:rFonts w:ascii="Minion Pro" w:hAnsi="Minion Pro"/>
        </w:rPr>
        <w:t>para</w:t>
      </w:r>
      <w:proofErr w:type="spellEnd"/>
      <w:r w:rsidRPr="00E878FA">
        <w:rPr>
          <w:rFonts w:ascii="Minion Pro" w:hAnsi="Minion Pro"/>
        </w:rPr>
        <w:t xml:space="preserve"> </w:t>
      </w:r>
      <w:proofErr w:type="spellStart"/>
      <w:r w:rsidRPr="00E878FA">
        <w:rPr>
          <w:rFonts w:ascii="Minion Pro" w:hAnsi="Minion Pro"/>
        </w:rPr>
        <w:t>pendiri</w:t>
      </w:r>
      <w:proofErr w:type="spellEnd"/>
      <w:r w:rsidRPr="00E878FA">
        <w:rPr>
          <w:rFonts w:ascii="Minion Pro" w:hAnsi="Minion Pro"/>
        </w:rPr>
        <w:t xml:space="preserve"> </w:t>
      </w:r>
      <w:proofErr w:type="spellStart"/>
      <w:r w:rsidRPr="00E878FA">
        <w:rPr>
          <w:rFonts w:ascii="Minion Pro" w:hAnsi="Minion Pro"/>
        </w:rPr>
        <w:t>negara-bangsa</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digariskan</w:t>
      </w:r>
      <w:proofErr w:type="spellEnd"/>
      <w:r w:rsidRPr="00E878FA">
        <w:rPr>
          <w:rFonts w:ascii="Minion Pro" w:hAnsi="Minion Pro"/>
        </w:rPr>
        <w:t xml:space="preserve">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intrinsik</w:t>
      </w:r>
      <w:proofErr w:type="spellEnd"/>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dasar</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sesanti</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w:t>
      </w:r>
      <w:proofErr w:type="spellStart"/>
      <w:r w:rsidRPr="00E878FA">
        <w:rPr>
          <w:rFonts w:ascii="Minion Pro" w:hAnsi="Minion Pro"/>
        </w:rPr>
        <w:t>Dengan</w:t>
      </w:r>
      <w:proofErr w:type="spellEnd"/>
      <w:r w:rsidRPr="00E878FA">
        <w:rPr>
          <w:rFonts w:ascii="Minion Pro" w:hAnsi="Minion Pro"/>
        </w:rPr>
        <w:t xml:space="preserve"> </w:t>
      </w:r>
      <w:proofErr w:type="spellStart"/>
      <w:r w:rsidRPr="00E878FA">
        <w:rPr>
          <w:rFonts w:ascii="Minion Pro" w:hAnsi="Minion Pro"/>
        </w:rPr>
        <w:t>demikian</w:t>
      </w:r>
      <w:proofErr w:type="spellEnd"/>
      <w:r w:rsidRPr="00E878FA">
        <w:rPr>
          <w:rFonts w:ascii="Minion Pro" w:hAnsi="Minion Pro"/>
        </w:rPr>
        <w:t xml:space="preserve">, </w:t>
      </w:r>
      <w:proofErr w:type="spellStart"/>
      <w:r w:rsidRPr="00E878FA">
        <w:rPr>
          <w:rFonts w:ascii="Minion Pro" w:hAnsi="Minion Pro"/>
        </w:rPr>
        <w:t>regulasi</w:t>
      </w:r>
      <w:proofErr w:type="spellEnd"/>
      <w:r w:rsidRPr="00E878FA">
        <w:rPr>
          <w:rFonts w:ascii="Minion Pro" w:hAnsi="Minion Pro"/>
        </w:rPr>
        <w:t xml:space="preserve"> </w:t>
      </w:r>
      <w:r w:rsidRPr="00E878FA">
        <w:rPr>
          <w:rFonts w:ascii="Minion Pro" w:hAnsi="Minion Pro"/>
          <w:i/>
        </w:rPr>
        <w:t>politico-legal</w:t>
      </w:r>
      <w:r w:rsidRPr="00E878FA">
        <w:rPr>
          <w:rFonts w:ascii="Minion Pro" w:hAnsi="Minion Pro"/>
        </w:rPr>
        <w:t xml:space="preserve"> di level </w:t>
      </w:r>
      <w:r w:rsidRPr="00E878FA">
        <w:rPr>
          <w:rFonts w:ascii="Minion Pro" w:hAnsi="Minion Pro"/>
          <w:i/>
        </w:rPr>
        <w:t xml:space="preserve">governance </w:t>
      </w:r>
      <w:proofErr w:type="spellStart"/>
      <w:r w:rsidRPr="00E878FA">
        <w:rPr>
          <w:rFonts w:ascii="Minion Pro" w:hAnsi="Minion Pro"/>
        </w:rPr>
        <w:t>harus</w:t>
      </w:r>
      <w:proofErr w:type="spellEnd"/>
      <w:r w:rsidRPr="00E878FA">
        <w:rPr>
          <w:rFonts w:ascii="Minion Pro" w:hAnsi="Minion Pro"/>
        </w:rPr>
        <w:t xml:space="preserve"> </w:t>
      </w:r>
      <w:proofErr w:type="spellStart"/>
      <w:r w:rsidRPr="00E878FA">
        <w:rPr>
          <w:rFonts w:ascii="Minion Pro" w:hAnsi="Minion Pro"/>
        </w:rPr>
        <w:t>dibangun</w:t>
      </w:r>
      <w:proofErr w:type="spellEnd"/>
      <w:r w:rsidRPr="00E878FA">
        <w:rPr>
          <w:rFonts w:ascii="Minion Pro" w:hAnsi="Minion Pro"/>
        </w:rPr>
        <w:t xml:space="preserve"> di </w:t>
      </w:r>
      <w:proofErr w:type="spellStart"/>
      <w:r w:rsidRPr="00E878FA">
        <w:rPr>
          <w:rFonts w:ascii="Minion Pro" w:hAnsi="Minion Pro"/>
        </w:rPr>
        <w:t>atas</w:t>
      </w:r>
      <w:proofErr w:type="spellEnd"/>
      <w:r w:rsidRPr="00E878FA">
        <w:rPr>
          <w:rFonts w:ascii="Minion Pro" w:hAnsi="Minion Pro"/>
        </w:rPr>
        <w:t xml:space="preserve"> </w:t>
      </w:r>
      <w:proofErr w:type="spellStart"/>
      <w:r w:rsidRPr="00E878FA">
        <w:rPr>
          <w:rFonts w:ascii="Minion Pro" w:hAnsi="Minion Pro"/>
        </w:rPr>
        <w:t>pondasi</w:t>
      </w:r>
      <w:proofErr w:type="spellEnd"/>
      <w:r w:rsidRPr="00E878FA">
        <w:rPr>
          <w:rFonts w:ascii="Minion Pro" w:hAnsi="Minion Pro"/>
        </w:rPr>
        <w:t xml:space="preserve"> </w:t>
      </w:r>
      <w:proofErr w:type="spellStart"/>
      <w:r w:rsidRPr="00E878FA">
        <w:rPr>
          <w:rFonts w:ascii="Minion Pro" w:hAnsi="Minion Pro"/>
        </w:rPr>
        <w:t>filosofis-konstitusional</w:t>
      </w:r>
      <w:proofErr w:type="spellEnd"/>
      <w:r w:rsidRPr="00E878FA">
        <w:rPr>
          <w:rFonts w:ascii="Minion Pro" w:hAnsi="Minion Pro"/>
        </w:rPr>
        <w:t xml:space="preserve"> </w:t>
      </w:r>
      <w:proofErr w:type="spellStart"/>
      <w:r w:rsidRPr="00E878FA">
        <w:rPr>
          <w:rFonts w:ascii="Minion Pro" w:hAnsi="Minion Pro"/>
        </w:rPr>
        <w:t>tersebut</w:t>
      </w:r>
      <w:proofErr w:type="spellEnd"/>
      <w:r w:rsidRPr="00E878FA">
        <w:rPr>
          <w:rFonts w:ascii="Minion Pro" w:hAnsi="Minion Pro"/>
        </w:rPr>
        <w:t>.</w:t>
      </w:r>
    </w:p>
    <w:p w:rsidR="009E0B2B" w:rsidRPr="00E878FA" w:rsidRDefault="009E0B2B" w:rsidP="009E0B2B">
      <w:pPr>
        <w:pStyle w:val="ListParagraph"/>
        <w:spacing w:before="240" w:after="0" w:line="240" w:lineRule="auto"/>
        <w:ind w:left="284" w:firstLine="567"/>
        <w:jc w:val="both"/>
        <w:rPr>
          <w:rFonts w:ascii="Minion Pro" w:hAnsi="Minion Pro"/>
        </w:rPr>
      </w:pPr>
      <w:proofErr w:type="spellStart"/>
      <w:r w:rsidRPr="00E878FA">
        <w:rPr>
          <w:rFonts w:ascii="Minion Pro" w:hAnsi="Minion Pro"/>
          <w:i/>
        </w:rPr>
        <w:t>Ketiga</w:t>
      </w:r>
      <w:proofErr w:type="spellEnd"/>
      <w:r w:rsidRPr="00E878FA">
        <w:rPr>
          <w:rFonts w:ascii="Minion Pro" w:hAnsi="Minion Pro"/>
          <w:i/>
        </w:rPr>
        <w:t>,</w:t>
      </w:r>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tataran</w:t>
      </w:r>
      <w:proofErr w:type="spellEnd"/>
      <w:r w:rsidRPr="00E878FA">
        <w:rPr>
          <w:rFonts w:ascii="Minion Pro" w:hAnsi="Minion Pro"/>
        </w:rPr>
        <w:t xml:space="preserve"> legal </w:t>
      </w:r>
      <w:proofErr w:type="spellStart"/>
      <w:r w:rsidRPr="00E878FA">
        <w:rPr>
          <w:rFonts w:ascii="Minion Pro" w:hAnsi="Minion Pro"/>
        </w:rPr>
        <w:t>turunannya</w:t>
      </w:r>
      <w:proofErr w:type="spellEnd"/>
      <w:r w:rsidRPr="00E878FA">
        <w:rPr>
          <w:rFonts w:ascii="Minion Pro" w:hAnsi="Minion Pro"/>
        </w:rPr>
        <w:t xml:space="preserve">, </w:t>
      </w:r>
      <w:proofErr w:type="spellStart"/>
      <w:r w:rsidRPr="00E878FA">
        <w:rPr>
          <w:rFonts w:ascii="Minion Pro" w:hAnsi="Minion Pro"/>
        </w:rPr>
        <w:t>Pasal</w:t>
      </w:r>
      <w:proofErr w:type="spellEnd"/>
      <w:r w:rsidRPr="00E878FA">
        <w:rPr>
          <w:rFonts w:ascii="Minion Pro" w:hAnsi="Minion Pro"/>
        </w:rPr>
        <w:t xml:space="preserve"> 27 </w:t>
      </w:r>
      <w:r w:rsidRPr="00E878FA">
        <w:rPr>
          <w:rFonts w:ascii="Minion Pro" w:hAnsi="Minion Pro"/>
          <w:i/>
        </w:rPr>
        <w:t>International Covenant on Civil and Political Rights (ICCPR)</w:t>
      </w:r>
      <w:r w:rsidRPr="00E878FA">
        <w:rPr>
          <w:rFonts w:ascii="Minion Pro" w:hAnsi="Minion Pro"/>
        </w:rPr>
        <w:t xml:space="preserve"> yang </w:t>
      </w:r>
      <w:proofErr w:type="spellStart"/>
      <w:r w:rsidRPr="00E878FA">
        <w:rPr>
          <w:rFonts w:ascii="Minion Pro" w:hAnsi="Minion Pro"/>
        </w:rPr>
        <w:t>sudah</w:t>
      </w:r>
      <w:proofErr w:type="spellEnd"/>
      <w:r w:rsidRPr="00E878FA">
        <w:rPr>
          <w:rFonts w:ascii="Minion Pro" w:hAnsi="Minion Pro"/>
        </w:rPr>
        <w:t xml:space="preserve"> </w:t>
      </w:r>
      <w:proofErr w:type="spellStart"/>
      <w:r w:rsidRPr="00E878FA">
        <w:rPr>
          <w:rFonts w:ascii="Minion Pro" w:hAnsi="Minion Pro"/>
        </w:rPr>
        <w:t>diratifikasi</w:t>
      </w:r>
      <w:proofErr w:type="spellEnd"/>
      <w:r w:rsidRPr="00E878FA">
        <w:rPr>
          <w:rFonts w:ascii="Minion Pro" w:hAnsi="Minion Pro"/>
        </w:rPr>
        <w:t xml:space="preserve"> </w:t>
      </w:r>
      <w:proofErr w:type="spellStart"/>
      <w:r w:rsidRPr="00E878FA">
        <w:rPr>
          <w:rFonts w:ascii="Minion Pro" w:hAnsi="Minion Pro"/>
        </w:rPr>
        <w:t>menjadi</w:t>
      </w:r>
      <w:proofErr w:type="spellEnd"/>
      <w:r w:rsidRPr="00E878FA">
        <w:rPr>
          <w:rFonts w:ascii="Minion Pro" w:hAnsi="Minion Pro"/>
        </w:rPr>
        <w:t xml:space="preserve"> UU No. 12 </w:t>
      </w:r>
      <w:proofErr w:type="spellStart"/>
      <w:r w:rsidRPr="00E878FA">
        <w:rPr>
          <w:rFonts w:ascii="Minion Pro" w:hAnsi="Minion Pro"/>
        </w:rPr>
        <w:t>Tahun</w:t>
      </w:r>
      <w:proofErr w:type="spellEnd"/>
      <w:r w:rsidRPr="00E878FA">
        <w:rPr>
          <w:rFonts w:ascii="Minion Pro" w:hAnsi="Minion Pro"/>
        </w:rPr>
        <w:t xml:space="preserve"> 2005, </w:t>
      </w:r>
      <w:proofErr w:type="spellStart"/>
      <w:r w:rsidRPr="00E878FA">
        <w:rPr>
          <w:rFonts w:ascii="Minion Pro" w:hAnsi="Minion Pro"/>
        </w:rPr>
        <w:t>menjamin</w:t>
      </w:r>
      <w:proofErr w:type="spellEnd"/>
      <w:r w:rsidRPr="00E878FA">
        <w:rPr>
          <w:rFonts w:ascii="Minion Pro" w:hAnsi="Minion Pro"/>
        </w:rPr>
        <w:t xml:space="preserve">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khusus</w:t>
      </w:r>
      <w:proofErr w:type="spellEnd"/>
      <w:r w:rsidRPr="00E878FA">
        <w:rPr>
          <w:rFonts w:ascii="Minion Pro" w:hAnsi="Minion Pro"/>
        </w:rPr>
        <w:t xml:space="preserve"> </w:t>
      </w:r>
      <w:proofErr w:type="spellStart"/>
      <w:r w:rsidRPr="00E878FA">
        <w:rPr>
          <w:rFonts w:ascii="Minion Pro" w:hAnsi="Minion Pro"/>
        </w:rPr>
        <w:t>hak-hak</w:t>
      </w:r>
      <w:proofErr w:type="spellEnd"/>
      <w:r w:rsidRPr="00E878FA">
        <w:rPr>
          <w:rFonts w:ascii="Minion Pro" w:hAnsi="Minion Pro"/>
        </w:rPr>
        <w:t xml:space="preserve"> </w:t>
      </w:r>
      <w:proofErr w:type="spellStart"/>
      <w:r w:rsidRPr="00E878FA">
        <w:rPr>
          <w:rFonts w:ascii="Minion Pro" w:hAnsi="Minion Pro"/>
        </w:rPr>
        <w:t>minoritas</w:t>
      </w:r>
      <w:proofErr w:type="spellEnd"/>
      <w:r w:rsidRPr="00E878FA">
        <w:rPr>
          <w:rFonts w:ascii="Minion Pro" w:hAnsi="Minion Pro"/>
        </w:rPr>
        <w:t xml:space="preserve">. </w:t>
      </w:r>
      <w:proofErr w:type="spellStart"/>
      <w:proofErr w:type="gramStart"/>
      <w:r w:rsidRPr="00E878FA">
        <w:rPr>
          <w:rFonts w:ascii="Minion Pro" w:hAnsi="Minion Pro"/>
        </w:rPr>
        <w:t>Sehingga</w:t>
      </w:r>
      <w:proofErr w:type="spellEnd"/>
      <w:r w:rsidRPr="00E878FA">
        <w:rPr>
          <w:rFonts w:ascii="Minion Pro" w:hAnsi="Minion Pro"/>
        </w:rPr>
        <w:t xml:space="preserve"> agenda </w:t>
      </w:r>
      <w:proofErr w:type="spellStart"/>
      <w:r w:rsidRPr="00E878FA">
        <w:rPr>
          <w:rFonts w:ascii="Minion Pro" w:hAnsi="Minion Pro"/>
        </w:rPr>
        <w:t>penegakannya</w:t>
      </w:r>
      <w:proofErr w:type="spellEnd"/>
      <w:r w:rsidRPr="00E878FA">
        <w:rPr>
          <w:rFonts w:ascii="Minion Pro" w:hAnsi="Minion Pro"/>
        </w:rPr>
        <w:t xml:space="preserve"> </w:t>
      </w:r>
      <w:proofErr w:type="spellStart"/>
      <w:r w:rsidRPr="00E878FA">
        <w:rPr>
          <w:rFonts w:ascii="Minion Pro" w:hAnsi="Minion Pro"/>
        </w:rPr>
        <w:t>sudah</w:t>
      </w:r>
      <w:proofErr w:type="spellEnd"/>
      <w:r w:rsidRPr="00E878FA">
        <w:rPr>
          <w:rFonts w:ascii="Minion Pro" w:hAnsi="Minion Pro"/>
        </w:rPr>
        <w:t xml:space="preserve"> </w:t>
      </w:r>
      <w:proofErr w:type="spellStart"/>
      <w:r w:rsidRPr="00E878FA">
        <w:rPr>
          <w:rFonts w:ascii="Minion Pro" w:hAnsi="Minion Pro"/>
        </w:rPr>
        <w:t>seharusnya</w:t>
      </w:r>
      <w:proofErr w:type="spellEnd"/>
      <w:r w:rsidRPr="00E878FA">
        <w:rPr>
          <w:rFonts w:ascii="Minion Pro" w:hAnsi="Minion Pro"/>
        </w:rPr>
        <w:t xml:space="preserve"> </w:t>
      </w:r>
      <w:proofErr w:type="spellStart"/>
      <w:r w:rsidRPr="00E878FA">
        <w:rPr>
          <w:rFonts w:ascii="Minion Pro" w:hAnsi="Minion Pro"/>
        </w:rPr>
        <w:t>menjadi</w:t>
      </w:r>
      <w:proofErr w:type="spellEnd"/>
      <w:r w:rsidRPr="00E878FA">
        <w:rPr>
          <w:rFonts w:ascii="Minion Pro" w:hAnsi="Minion Pro"/>
        </w:rPr>
        <w:t xml:space="preserve"> </w:t>
      </w:r>
      <w:r w:rsidRPr="00E878FA">
        <w:rPr>
          <w:rFonts w:ascii="Minion Pro" w:hAnsi="Minion Pro"/>
          <w:i/>
        </w:rPr>
        <w:t xml:space="preserve">concern </w:t>
      </w:r>
      <w:proofErr w:type="spellStart"/>
      <w:r w:rsidRPr="00E878FA">
        <w:rPr>
          <w:rFonts w:ascii="Minion Pro" w:hAnsi="Minion Pro"/>
        </w:rPr>
        <w:t>semua</w:t>
      </w:r>
      <w:proofErr w:type="spellEnd"/>
      <w:r w:rsidRPr="00E878FA">
        <w:rPr>
          <w:rFonts w:ascii="Minion Pro" w:hAnsi="Minion Pro"/>
        </w:rPr>
        <w:t xml:space="preserve"> </w:t>
      </w:r>
      <w:proofErr w:type="spellStart"/>
      <w:r w:rsidRPr="00E878FA">
        <w:rPr>
          <w:rFonts w:ascii="Minion Pro" w:hAnsi="Minion Pro"/>
        </w:rPr>
        <w:t>pihak</w:t>
      </w:r>
      <w:proofErr w:type="spellEnd"/>
      <w:r w:rsidRPr="00E878FA">
        <w:rPr>
          <w:rFonts w:ascii="Minion Pro" w:hAnsi="Minion Pro"/>
        </w:rPr>
        <w:t xml:space="preserve"> agar </w:t>
      </w:r>
      <w:proofErr w:type="spellStart"/>
      <w:r w:rsidRPr="00E878FA">
        <w:rPr>
          <w:rFonts w:ascii="Minion Pro" w:hAnsi="Minion Pro"/>
        </w:rPr>
        <w:t>hukum</w:t>
      </w:r>
      <w:proofErr w:type="spellEnd"/>
      <w:r w:rsidRPr="00E878FA">
        <w:rPr>
          <w:rFonts w:ascii="Minion Pro" w:hAnsi="Minion Pro"/>
        </w:rPr>
        <w:t xml:space="preserve"> </w:t>
      </w:r>
      <w:proofErr w:type="spellStart"/>
      <w:r w:rsidRPr="00E878FA">
        <w:rPr>
          <w:rFonts w:ascii="Minion Pro" w:hAnsi="Minion Pro"/>
        </w:rPr>
        <w:t>tidak</w:t>
      </w:r>
      <w:proofErr w:type="spellEnd"/>
      <w:r w:rsidRPr="00E878FA">
        <w:rPr>
          <w:rFonts w:ascii="Minion Pro" w:hAnsi="Minion Pro"/>
        </w:rPr>
        <w:t xml:space="preserve"> </w:t>
      </w:r>
      <w:proofErr w:type="spellStart"/>
      <w:r w:rsidRPr="00E878FA">
        <w:rPr>
          <w:rFonts w:ascii="Minion Pro" w:hAnsi="Minion Pro"/>
        </w:rPr>
        <w:t>semata-mata</w:t>
      </w:r>
      <w:proofErr w:type="spellEnd"/>
      <w:r w:rsidRPr="00E878FA">
        <w:rPr>
          <w:rFonts w:ascii="Minion Pro" w:hAnsi="Minion Pro"/>
        </w:rPr>
        <w:t xml:space="preserve"> </w:t>
      </w:r>
      <w:proofErr w:type="spellStart"/>
      <w:r w:rsidRPr="00E878FA">
        <w:rPr>
          <w:rFonts w:ascii="Minion Pro" w:hAnsi="Minion Pro"/>
        </w:rPr>
        <w:t>menjadi</w:t>
      </w:r>
      <w:proofErr w:type="spellEnd"/>
      <w:r w:rsidRPr="00E878FA">
        <w:rPr>
          <w:rFonts w:ascii="Minion Pro" w:hAnsi="Minion Pro"/>
        </w:rPr>
        <w:t xml:space="preserve"> </w:t>
      </w:r>
      <w:proofErr w:type="spellStart"/>
      <w:r w:rsidRPr="00E878FA">
        <w:rPr>
          <w:rFonts w:ascii="Minion Pro" w:hAnsi="Minion Pro"/>
        </w:rPr>
        <w:t>pelindung</w:t>
      </w:r>
      <w:proofErr w:type="spellEnd"/>
      <w:r w:rsidRPr="00E878FA">
        <w:rPr>
          <w:rFonts w:ascii="Minion Pro" w:hAnsi="Minion Pro"/>
        </w:rPr>
        <w:t xml:space="preserve"> </w:t>
      </w:r>
      <w:proofErr w:type="spellStart"/>
      <w:r w:rsidRPr="00E878FA">
        <w:rPr>
          <w:rFonts w:ascii="Minion Pro" w:hAnsi="Minion Pro"/>
        </w:rPr>
        <w:t>kelompok</w:t>
      </w:r>
      <w:proofErr w:type="spellEnd"/>
      <w:r w:rsidRPr="00E878FA">
        <w:rPr>
          <w:rFonts w:ascii="Minion Pro" w:hAnsi="Minion Pro"/>
        </w:rPr>
        <w:t xml:space="preserve"> </w:t>
      </w:r>
      <w:proofErr w:type="spellStart"/>
      <w:r w:rsidRPr="00E878FA">
        <w:rPr>
          <w:rFonts w:ascii="Minion Pro" w:hAnsi="Minion Pro"/>
        </w:rPr>
        <w:t>mayoritas</w:t>
      </w:r>
      <w:proofErr w:type="spellEnd"/>
      <w:r w:rsidRPr="00E878FA">
        <w:rPr>
          <w:rFonts w:ascii="Minion Pro" w:hAnsi="Minion Pro"/>
        </w:rPr>
        <w:t xml:space="preserve"> </w:t>
      </w:r>
      <w:proofErr w:type="spellStart"/>
      <w:r w:rsidRPr="00E878FA">
        <w:rPr>
          <w:rFonts w:ascii="Minion Pro" w:hAnsi="Minion Pro"/>
        </w:rPr>
        <w:t>tetapi</w:t>
      </w:r>
      <w:proofErr w:type="spellEnd"/>
      <w:r w:rsidRPr="00E878FA">
        <w:rPr>
          <w:rFonts w:ascii="Minion Pro" w:hAnsi="Minion Pro"/>
        </w:rPr>
        <w:t xml:space="preserve"> </w:t>
      </w:r>
      <w:proofErr w:type="spellStart"/>
      <w:r w:rsidRPr="00E878FA">
        <w:rPr>
          <w:rFonts w:ascii="Minion Pro" w:hAnsi="Minion Pro"/>
        </w:rPr>
        <w:t>juga</w:t>
      </w:r>
      <w:proofErr w:type="spellEnd"/>
      <w:r w:rsidRPr="00E878FA">
        <w:rPr>
          <w:rFonts w:ascii="Minion Pro" w:hAnsi="Minion Pro"/>
        </w:rPr>
        <w:t xml:space="preserve"> </w:t>
      </w:r>
      <w:proofErr w:type="spellStart"/>
      <w:r w:rsidRPr="00E878FA">
        <w:rPr>
          <w:rFonts w:ascii="Minion Pro" w:hAnsi="Minion Pro"/>
        </w:rPr>
        <w:t>menjadi</w:t>
      </w:r>
      <w:proofErr w:type="spellEnd"/>
      <w:r w:rsidRPr="00E878FA">
        <w:rPr>
          <w:rFonts w:ascii="Minion Pro" w:hAnsi="Minion Pro"/>
        </w:rPr>
        <w:t xml:space="preserve"> </w:t>
      </w:r>
      <w:proofErr w:type="spellStart"/>
      <w:r w:rsidRPr="00E878FA">
        <w:rPr>
          <w:rFonts w:ascii="Minion Pro" w:hAnsi="Minion Pro"/>
        </w:rPr>
        <w:t>pelindung</w:t>
      </w:r>
      <w:proofErr w:type="spellEnd"/>
      <w:r w:rsidRPr="00E878FA">
        <w:rPr>
          <w:rFonts w:ascii="Minion Pro" w:hAnsi="Minion Pro"/>
        </w:rPr>
        <w:t xml:space="preserve"> </w:t>
      </w:r>
      <w:proofErr w:type="spellStart"/>
      <w:r w:rsidRPr="00E878FA">
        <w:rPr>
          <w:rFonts w:ascii="Minion Pro" w:hAnsi="Minion Pro"/>
        </w:rPr>
        <w:t>bagi</w:t>
      </w:r>
      <w:proofErr w:type="spellEnd"/>
      <w:r w:rsidRPr="00E878FA">
        <w:rPr>
          <w:rFonts w:ascii="Minion Pro" w:hAnsi="Minion Pro"/>
        </w:rPr>
        <w:t xml:space="preserve"> </w:t>
      </w:r>
      <w:proofErr w:type="spellStart"/>
      <w:r w:rsidRPr="00E878FA">
        <w:rPr>
          <w:rFonts w:ascii="Minion Pro" w:hAnsi="Minion Pro"/>
        </w:rPr>
        <w:t>mereka</w:t>
      </w:r>
      <w:proofErr w:type="spellEnd"/>
      <w:r w:rsidRPr="00E878FA">
        <w:rPr>
          <w:rFonts w:ascii="Minion Pro" w:hAnsi="Minion Pro"/>
        </w:rPr>
        <w:t xml:space="preserve"> yang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antropologis</w:t>
      </w:r>
      <w:proofErr w:type="spellEnd"/>
      <w:r w:rsidRPr="00E878FA">
        <w:rPr>
          <w:rFonts w:ascii="Minion Pro" w:hAnsi="Minion Pro"/>
        </w:rPr>
        <w:t xml:space="preserve"> </w:t>
      </w:r>
      <w:proofErr w:type="spellStart"/>
      <w:r w:rsidRPr="00E878FA">
        <w:rPr>
          <w:rFonts w:ascii="Minion Pro" w:hAnsi="Minion Pro"/>
        </w:rPr>
        <w:t>diaggap</w:t>
      </w:r>
      <w:proofErr w:type="spellEnd"/>
      <w:r w:rsidRPr="00E878FA">
        <w:rPr>
          <w:rFonts w:ascii="Minion Pro" w:hAnsi="Minion Pro"/>
        </w:rPr>
        <w:t xml:space="preserve"> </w:t>
      </w:r>
      <w:proofErr w:type="spellStart"/>
      <w:r w:rsidRPr="00E878FA">
        <w:rPr>
          <w:rFonts w:ascii="Minion Pro" w:hAnsi="Minion Pro"/>
        </w:rPr>
        <w:t>sebagai</w:t>
      </w:r>
      <w:proofErr w:type="spellEnd"/>
      <w:r w:rsidRPr="00E878FA">
        <w:rPr>
          <w:rFonts w:ascii="Minion Pro" w:hAnsi="Minion Pro"/>
        </w:rPr>
        <w:t xml:space="preserve"> </w:t>
      </w:r>
      <w:proofErr w:type="spellStart"/>
      <w:r w:rsidRPr="00E878FA">
        <w:rPr>
          <w:rFonts w:ascii="Minion Pro" w:hAnsi="Minion Pro"/>
        </w:rPr>
        <w:t>minoritas</w:t>
      </w:r>
      <w:proofErr w:type="spellEnd"/>
      <w:r w:rsidRPr="00E878FA">
        <w:rPr>
          <w:rFonts w:ascii="Minion Pro" w:hAnsi="Minion Pro"/>
        </w:rPr>
        <w:t>.</w:t>
      </w:r>
      <w:proofErr w:type="gramEnd"/>
      <w:r w:rsidRPr="00E878FA">
        <w:rPr>
          <w:rFonts w:ascii="Minion Pro" w:hAnsi="Minion Pro"/>
        </w:rPr>
        <w:t xml:space="preserve"> </w:t>
      </w:r>
    </w:p>
    <w:p w:rsidR="009E0B2B" w:rsidRPr="00E878FA" w:rsidRDefault="009E0B2B" w:rsidP="009E0B2B">
      <w:pPr>
        <w:pStyle w:val="ListParagraph"/>
        <w:spacing w:before="240" w:after="0" w:line="240" w:lineRule="auto"/>
        <w:ind w:left="284" w:firstLine="567"/>
        <w:jc w:val="both"/>
        <w:rPr>
          <w:rFonts w:ascii="Minion Pro" w:hAnsi="Minion Pro"/>
        </w:rPr>
      </w:pPr>
      <w:proofErr w:type="spellStart"/>
      <w:r w:rsidRPr="00E878FA">
        <w:rPr>
          <w:rFonts w:ascii="Minion Pro" w:hAnsi="Minion Pro"/>
        </w:rPr>
        <w:t>Keempat</w:t>
      </w:r>
      <w:proofErr w:type="spellEnd"/>
      <w:r w:rsidRPr="00E878FA">
        <w:rPr>
          <w:rFonts w:ascii="Minion Pro" w:hAnsi="Minion Pro"/>
        </w:rPr>
        <w:t xml:space="preserve">,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statistikal</w:t>
      </w:r>
      <w:proofErr w:type="spellEnd"/>
      <w:r w:rsidRPr="00E878FA">
        <w:rPr>
          <w:rFonts w:ascii="Minion Pro" w:hAnsi="Minion Pro"/>
        </w:rPr>
        <w:t xml:space="preserve">, </w:t>
      </w:r>
      <w:proofErr w:type="spellStart"/>
      <w:r w:rsidRPr="00E878FA">
        <w:rPr>
          <w:rFonts w:ascii="Minion Pro" w:hAnsi="Minion Pro"/>
        </w:rPr>
        <w:t>mengacu</w:t>
      </w:r>
      <w:proofErr w:type="spellEnd"/>
      <w:r w:rsidRPr="00E878FA">
        <w:rPr>
          <w:rFonts w:ascii="Minion Pro" w:hAnsi="Minion Pro"/>
        </w:rPr>
        <w:t xml:space="preserve"> data </w:t>
      </w:r>
      <w:proofErr w:type="spellStart"/>
      <w:r w:rsidRPr="00E878FA">
        <w:rPr>
          <w:rFonts w:ascii="Minion Pro" w:hAnsi="Minion Pro"/>
        </w:rPr>
        <w:t>riset</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pemantauan</w:t>
      </w:r>
      <w:proofErr w:type="spellEnd"/>
      <w:r w:rsidRPr="00E878FA">
        <w:rPr>
          <w:rFonts w:ascii="Minion Pro" w:hAnsi="Minion Pro"/>
        </w:rPr>
        <w:t xml:space="preserve"> SETARA Institute </w:t>
      </w:r>
      <w:proofErr w:type="spellStart"/>
      <w:r w:rsidRPr="00E878FA">
        <w:rPr>
          <w:rFonts w:ascii="Minion Pro" w:hAnsi="Minion Pro"/>
        </w:rPr>
        <w:t>sejak</w:t>
      </w:r>
      <w:proofErr w:type="spellEnd"/>
      <w:r w:rsidRPr="00E878FA">
        <w:rPr>
          <w:rFonts w:ascii="Minion Pro" w:hAnsi="Minion Pro"/>
        </w:rPr>
        <w:t xml:space="preserve"> </w:t>
      </w:r>
      <w:proofErr w:type="spellStart"/>
      <w:r w:rsidRPr="00E878FA">
        <w:rPr>
          <w:rFonts w:ascii="Minion Pro" w:hAnsi="Minion Pro"/>
        </w:rPr>
        <w:t>tahun</w:t>
      </w:r>
      <w:proofErr w:type="spellEnd"/>
      <w:r w:rsidRPr="00E878FA">
        <w:rPr>
          <w:rFonts w:ascii="Minion Pro" w:hAnsi="Minion Pro"/>
        </w:rPr>
        <w:t xml:space="preserve"> 2007 </w:t>
      </w:r>
      <w:proofErr w:type="spellStart"/>
      <w:r w:rsidRPr="00E878FA">
        <w:rPr>
          <w:rFonts w:ascii="Minion Pro" w:hAnsi="Minion Pro"/>
        </w:rPr>
        <w:t>hingga</w:t>
      </w:r>
      <w:proofErr w:type="spellEnd"/>
      <w:r w:rsidRPr="00E878FA">
        <w:rPr>
          <w:rFonts w:ascii="Minion Pro" w:hAnsi="Minion Pro"/>
        </w:rPr>
        <w:t xml:space="preserve"> 2016 yang </w:t>
      </w:r>
      <w:proofErr w:type="spellStart"/>
      <w:r w:rsidRPr="00E878FA">
        <w:rPr>
          <w:rFonts w:ascii="Minion Pro" w:hAnsi="Minion Pro"/>
        </w:rPr>
        <w:t>laporannya</w:t>
      </w:r>
      <w:proofErr w:type="spellEnd"/>
      <w:r w:rsidRPr="00E878FA">
        <w:rPr>
          <w:rFonts w:ascii="Minion Pro" w:hAnsi="Minion Pro"/>
        </w:rPr>
        <w:t xml:space="preserve"> </w:t>
      </w:r>
      <w:proofErr w:type="spellStart"/>
      <w:r w:rsidRPr="00E878FA">
        <w:rPr>
          <w:rFonts w:ascii="Minion Pro" w:hAnsi="Minion Pro"/>
        </w:rPr>
        <w:t>sedang</w:t>
      </w:r>
      <w:proofErr w:type="spellEnd"/>
      <w:r w:rsidRPr="00E878FA">
        <w:rPr>
          <w:rFonts w:ascii="Minion Pro" w:hAnsi="Minion Pro"/>
        </w:rPr>
        <w:t xml:space="preserve"> </w:t>
      </w:r>
      <w:proofErr w:type="spellStart"/>
      <w:r w:rsidRPr="00E878FA">
        <w:rPr>
          <w:rFonts w:ascii="Minion Pro" w:hAnsi="Minion Pro"/>
        </w:rPr>
        <w:t>ditangan</w:t>
      </w:r>
      <w:proofErr w:type="spellEnd"/>
      <w:r w:rsidRPr="00E878FA">
        <w:rPr>
          <w:rFonts w:ascii="Minion Pro" w:hAnsi="Minion Pro"/>
        </w:rPr>
        <w:t xml:space="preserve"> </w:t>
      </w:r>
      <w:proofErr w:type="spellStart"/>
      <w:r w:rsidRPr="00E878FA">
        <w:rPr>
          <w:rFonts w:ascii="Minion Pro" w:hAnsi="Minion Pro"/>
        </w:rPr>
        <w:t>pembaca</w:t>
      </w:r>
      <w:proofErr w:type="spellEnd"/>
      <w:r w:rsidRPr="00E878FA">
        <w:rPr>
          <w:rFonts w:ascii="Minion Pro" w:hAnsi="Minion Pro"/>
        </w:rPr>
        <w:t xml:space="preserve"> </w:t>
      </w:r>
      <w:proofErr w:type="spellStart"/>
      <w:r w:rsidRPr="00E878FA">
        <w:rPr>
          <w:rFonts w:ascii="Minion Pro" w:hAnsi="Minion Pro"/>
        </w:rPr>
        <w:t>ini</w:t>
      </w:r>
      <w:proofErr w:type="spellEnd"/>
      <w:r w:rsidRPr="00E878FA">
        <w:rPr>
          <w:rFonts w:ascii="Minion Pro" w:hAnsi="Minion Pro"/>
        </w:rPr>
        <w:t xml:space="preserve">, </w:t>
      </w:r>
      <w:proofErr w:type="spellStart"/>
      <w:r w:rsidRPr="00E878FA">
        <w:rPr>
          <w:rFonts w:ascii="Minion Pro" w:hAnsi="Minion Pro"/>
        </w:rPr>
        <w:t>minoritas</w:t>
      </w:r>
      <w:proofErr w:type="spellEnd"/>
      <w:r w:rsidRPr="00E878FA">
        <w:rPr>
          <w:rFonts w:ascii="Minion Pro" w:hAnsi="Minion Pro"/>
        </w:rPr>
        <w:t xml:space="preserve"> </w:t>
      </w:r>
      <w:proofErr w:type="spellStart"/>
      <w:r w:rsidRPr="00E878FA">
        <w:rPr>
          <w:rFonts w:ascii="Minion Pro" w:hAnsi="Minion Pro"/>
        </w:rPr>
        <w:t>merupakan</w:t>
      </w:r>
      <w:proofErr w:type="spellEnd"/>
      <w:r w:rsidRPr="00E878FA">
        <w:rPr>
          <w:rFonts w:ascii="Minion Pro" w:hAnsi="Minion Pro"/>
        </w:rPr>
        <w:t xml:space="preserve"> </w:t>
      </w:r>
      <w:proofErr w:type="spellStart"/>
      <w:r w:rsidRPr="00E878FA">
        <w:rPr>
          <w:rFonts w:ascii="Minion Pro" w:hAnsi="Minion Pro"/>
        </w:rPr>
        <w:t>korban</w:t>
      </w:r>
      <w:proofErr w:type="spellEnd"/>
      <w:r w:rsidRPr="00E878FA">
        <w:rPr>
          <w:rFonts w:ascii="Minion Pro" w:hAnsi="Minion Pro"/>
        </w:rPr>
        <w:t xml:space="preserve"> </w:t>
      </w:r>
      <w:proofErr w:type="spellStart"/>
      <w:r w:rsidRPr="00E878FA">
        <w:rPr>
          <w:rFonts w:ascii="Minion Pro" w:hAnsi="Minion Pro"/>
        </w:rPr>
        <w:t>terbesar</w:t>
      </w:r>
      <w:proofErr w:type="spellEnd"/>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tindakan</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peristiwa</w:t>
      </w:r>
      <w:proofErr w:type="spellEnd"/>
      <w:r w:rsidRPr="00E878FA">
        <w:rPr>
          <w:rFonts w:ascii="Minion Pro" w:hAnsi="Minion Pro"/>
        </w:rPr>
        <w:t xml:space="preserve"> </w:t>
      </w:r>
      <w:proofErr w:type="spellStart"/>
      <w:r w:rsidRPr="00E878FA">
        <w:rPr>
          <w:rFonts w:ascii="Minion Pro" w:hAnsi="Minion Pro"/>
        </w:rPr>
        <w:t>pelanggaran</w:t>
      </w:r>
      <w:proofErr w:type="spellEnd"/>
      <w:r w:rsidRPr="00E878FA">
        <w:rPr>
          <w:rFonts w:ascii="Minion Pro" w:hAnsi="Minion Pro"/>
        </w:rPr>
        <w:t xml:space="preserve"> KBB </w:t>
      </w:r>
      <w:proofErr w:type="spellStart"/>
      <w:r w:rsidRPr="00E878FA">
        <w:rPr>
          <w:rFonts w:ascii="Minion Pro" w:hAnsi="Minion Pro"/>
        </w:rPr>
        <w:t>selama</w:t>
      </w:r>
      <w:proofErr w:type="spellEnd"/>
      <w:r w:rsidRPr="00E878FA">
        <w:rPr>
          <w:rFonts w:ascii="Minion Pro" w:hAnsi="Minion Pro"/>
        </w:rPr>
        <w:t xml:space="preserve"> </w:t>
      </w:r>
      <w:proofErr w:type="spellStart"/>
      <w:r w:rsidRPr="00E878FA">
        <w:rPr>
          <w:rFonts w:ascii="Minion Pro" w:hAnsi="Minion Pro"/>
        </w:rPr>
        <w:t>ini</w:t>
      </w:r>
      <w:proofErr w:type="spellEnd"/>
      <w:r w:rsidRPr="00E878FA">
        <w:rPr>
          <w:rFonts w:ascii="Minion Pro" w:hAnsi="Minion Pro"/>
        </w:rPr>
        <w:t>.</w:t>
      </w:r>
    </w:p>
    <w:p w:rsidR="009E0B2B" w:rsidRPr="00E878FA" w:rsidRDefault="009E0B2B" w:rsidP="009E0B2B">
      <w:pPr>
        <w:pStyle w:val="ListParagraph"/>
        <w:spacing w:before="240" w:after="0" w:line="240" w:lineRule="auto"/>
        <w:ind w:left="284" w:firstLine="567"/>
        <w:jc w:val="both"/>
        <w:rPr>
          <w:rFonts w:ascii="Minion Pro" w:hAnsi="Minion Pro"/>
        </w:rPr>
      </w:pPr>
      <w:proofErr w:type="spellStart"/>
      <w:proofErr w:type="gramStart"/>
      <w:r w:rsidRPr="00E878FA">
        <w:rPr>
          <w:rFonts w:ascii="Minion Pro" w:hAnsi="Minion Pro"/>
        </w:rPr>
        <w:t>Kondisi</w:t>
      </w:r>
      <w:proofErr w:type="spellEnd"/>
      <w:r w:rsidRPr="00E878FA">
        <w:rPr>
          <w:rFonts w:ascii="Minion Pro" w:hAnsi="Minion Pro"/>
        </w:rPr>
        <w:t xml:space="preserve"> </w:t>
      </w:r>
      <w:proofErr w:type="spellStart"/>
      <w:r w:rsidRPr="00E878FA">
        <w:rPr>
          <w:rFonts w:ascii="Minion Pro" w:hAnsi="Minion Pro"/>
        </w:rPr>
        <w:t>perlindungan</w:t>
      </w:r>
      <w:proofErr w:type="spellEnd"/>
      <w:r w:rsidRPr="00E878FA">
        <w:rPr>
          <w:rFonts w:ascii="Minion Pro" w:hAnsi="Minion Pro"/>
        </w:rPr>
        <w:t xml:space="preserve"> </w:t>
      </w:r>
      <w:proofErr w:type="spellStart"/>
      <w:r w:rsidRPr="00E878FA">
        <w:rPr>
          <w:rFonts w:ascii="Minion Pro" w:hAnsi="Minion Pro"/>
        </w:rPr>
        <w:t>hak-hak</w:t>
      </w:r>
      <w:proofErr w:type="spellEnd"/>
      <w:r w:rsidRPr="00E878FA">
        <w:rPr>
          <w:rFonts w:ascii="Minion Pro" w:hAnsi="Minion Pro"/>
        </w:rPr>
        <w:t xml:space="preserve"> </w:t>
      </w:r>
      <w:proofErr w:type="spellStart"/>
      <w:r w:rsidRPr="00E878FA">
        <w:rPr>
          <w:rFonts w:ascii="Minion Pro" w:hAnsi="Minion Pro"/>
        </w:rPr>
        <w:t>minoritas</w:t>
      </w:r>
      <w:proofErr w:type="spellEnd"/>
      <w:r w:rsidRPr="00E878FA">
        <w:rPr>
          <w:rFonts w:ascii="Minion Pro" w:hAnsi="Minion Pro"/>
        </w:rPr>
        <w:t xml:space="preserve"> </w:t>
      </w:r>
      <w:proofErr w:type="spellStart"/>
      <w:r w:rsidRPr="00E878FA">
        <w:rPr>
          <w:rFonts w:ascii="Minion Pro" w:hAnsi="Minion Pro"/>
        </w:rPr>
        <w:t>keagamaan</w:t>
      </w:r>
      <w:proofErr w:type="spellEnd"/>
      <w:r w:rsidRPr="00E878FA">
        <w:rPr>
          <w:rFonts w:ascii="Minion Pro" w:hAnsi="Minion Pro"/>
        </w:rPr>
        <w:t xml:space="preserve"> </w:t>
      </w:r>
      <w:proofErr w:type="spellStart"/>
      <w:r w:rsidRPr="00E878FA">
        <w:rPr>
          <w:rFonts w:ascii="Minion Pro" w:hAnsi="Minion Pro"/>
        </w:rPr>
        <w:t>tentu</w:t>
      </w:r>
      <w:proofErr w:type="spellEnd"/>
      <w:r w:rsidRPr="00E878FA">
        <w:rPr>
          <w:rFonts w:ascii="Minion Pro" w:hAnsi="Minion Pro"/>
        </w:rPr>
        <w:t xml:space="preserve"> </w:t>
      </w:r>
      <w:proofErr w:type="spellStart"/>
      <w:r w:rsidRPr="00E878FA">
        <w:rPr>
          <w:rFonts w:ascii="Minion Pro" w:hAnsi="Minion Pro"/>
        </w:rPr>
        <w:t>tidak</w:t>
      </w:r>
      <w:proofErr w:type="spellEnd"/>
      <w:r w:rsidRPr="00E878FA">
        <w:rPr>
          <w:rFonts w:ascii="Minion Pro" w:hAnsi="Minion Pro"/>
        </w:rPr>
        <w:t xml:space="preserve"> </w:t>
      </w:r>
      <w:proofErr w:type="spellStart"/>
      <w:r w:rsidRPr="00E878FA">
        <w:rPr>
          <w:rFonts w:ascii="Minion Pro" w:hAnsi="Minion Pro"/>
        </w:rPr>
        <w:t>bisa</w:t>
      </w:r>
      <w:proofErr w:type="spellEnd"/>
      <w:r w:rsidRPr="00E878FA">
        <w:rPr>
          <w:rFonts w:ascii="Minion Pro" w:hAnsi="Minion Pro"/>
        </w:rPr>
        <w:t xml:space="preserve"> </w:t>
      </w:r>
      <w:proofErr w:type="spellStart"/>
      <w:r w:rsidRPr="00E878FA">
        <w:rPr>
          <w:rFonts w:ascii="Minion Pro" w:hAnsi="Minion Pro"/>
        </w:rPr>
        <w:t>dilepaskan</w:t>
      </w:r>
      <w:proofErr w:type="spellEnd"/>
      <w:r w:rsidRPr="00E878FA">
        <w:rPr>
          <w:rFonts w:ascii="Minion Pro" w:hAnsi="Minion Pro"/>
        </w:rPr>
        <w:t xml:space="preserve"> </w:t>
      </w:r>
      <w:proofErr w:type="spellStart"/>
      <w:r w:rsidRPr="00E878FA">
        <w:rPr>
          <w:rFonts w:ascii="Minion Pro" w:hAnsi="Minion Pro"/>
        </w:rPr>
        <w:t>dari</w:t>
      </w:r>
      <w:proofErr w:type="spellEnd"/>
      <w:r w:rsidRPr="00E878FA">
        <w:rPr>
          <w:rFonts w:ascii="Minion Pro" w:hAnsi="Minion Pro"/>
        </w:rPr>
        <w:t xml:space="preserve"> </w:t>
      </w:r>
      <w:proofErr w:type="spellStart"/>
      <w:r w:rsidRPr="00E878FA">
        <w:rPr>
          <w:rFonts w:ascii="Minion Pro" w:hAnsi="Minion Pro"/>
        </w:rPr>
        <w:t>kondisi</w:t>
      </w:r>
      <w:proofErr w:type="spellEnd"/>
      <w:r w:rsidRPr="00E878FA">
        <w:rPr>
          <w:rFonts w:ascii="Minion Pro" w:hAnsi="Minion Pro"/>
        </w:rPr>
        <w:t xml:space="preserve"> </w:t>
      </w:r>
      <w:proofErr w:type="spellStart"/>
      <w:r w:rsidRPr="00E878FA">
        <w:rPr>
          <w:rFonts w:ascii="Minion Pro" w:hAnsi="Minion Pro"/>
        </w:rPr>
        <w:t>kebebasan</w:t>
      </w:r>
      <w:proofErr w:type="spellEnd"/>
      <w:r w:rsidRPr="00E878FA">
        <w:rPr>
          <w:rFonts w:ascii="Minion Pro" w:hAnsi="Minion Pro"/>
        </w:rPr>
        <w:t xml:space="preserve"> </w:t>
      </w:r>
      <w:proofErr w:type="spellStart"/>
      <w:r w:rsidRPr="00E878FA">
        <w:rPr>
          <w:rFonts w:ascii="Minion Pro" w:hAnsi="Minion Pro"/>
        </w:rPr>
        <w:t>beragama</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berkeyakinan</w:t>
      </w:r>
      <w:proofErr w:type="spellEnd"/>
      <w:r w:rsidRPr="00E878FA">
        <w:rPr>
          <w:rFonts w:ascii="Minion Pro" w:hAnsi="Minion Pro"/>
        </w:rPr>
        <w:t>.</w:t>
      </w:r>
      <w:proofErr w:type="gramEnd"/>
      <w:r w:rsidRPr="00E878FA">
        <w:rPr>
          <w:rFonts w:ascii="Minion Pro" w:hAnsi="Minion Pro"/>
        </w:rPr>
        <w:t xml:space="preserve"> </w:t>
      </w:r>
      <w:proofErr w:type="spellStart"/>
      <w:proofErr w:type="gramStart"/>
      <w:r w:rsidRPr="00E878FA">
        <w:rPr>
          <w:rFonts w:ascii="Minion Pro" w:hAnsi="Minion Pro"/>
        </w:rPr>
        <w:t>Perhatian</w:t>
      </w:r>
      <w:proofErr w:type="spellEnd"/>
      <w:r w:rsidRPr="00E878FA">
        <w:rPr>
          <w:rFonts w:ascii="Minion Pro" w:hAnsi="Minion Pro"/>
        </w:rPr>
        <w:t xml:space="preserve"> </w:t>
      </w:r>
      <w:proofErr w:type="spellStart"/>
      <w:r w:rsidRPr="00E878FA">
        <w:rPr>
          <w:rFonts w:ascii="Minion Pro" w:hAnsi="Minion Pro"/>
        </w:rPr>
        <w:t>atas</w:t>
      </w:r>
      <w:proofErr w:type="spellEnd"/>
      <w:r w:rsidRPr="00E878FA">
        <w:rPr>
          <w:rFonts w:ascii="Minion Pro" w:hAnsi="Minion Pro"/>
        </w:rPr>
        <w:t xml:space="preserve"> </w:t>
      </w:r>
      <w:proofErr w:type="spellStart"/>
      <w:r w:rsidRPr="00E878FA">
        <w:rPr>
          <w:rFonts w:ascii="Minion Pro" w:hAnsi="Minion Pro"/>
        </w:rPr>
        <w:t>pemenuhan</w:t>
      </w:r>
      <w:proofErr w:type="spellEnd"/>
      <w:r w:rsidRPr="00E878FA">
        <w:rPr>
          <w:rFonts w:ascii="Minion Pro" w:hAnsi="Minion Pro"/>
        </w:rPr>
        <w:t xml:space="preserve"> </w:t>
      </w:r>
      <w:proofErr w:type="spellStart"/>
      <w:r w:rsidRPr="00E878FA">
        <w:rPr>
          <w:rFonts w:ascii="Minion Pro" w:hAnsi="Minion Pro"/>
        </w:rPr>
        <w:t>hak-hak</w:t>
      </w:r>
      <w:proofErr w:type="spellEnd"/>
      <w:r w:rsidRPr="00E878FA">
        <w:rPr>
          <w:rFonts w:ascii="Minion Pro" w:hAnsi="Minion Pro"/>
        </w:rPr>
        <w:t xml:space="preserve"> </w:t>
      </w:r>
      <w:proofErr w:type="spellStart"/>
      <w:r w:rsidRPr="00E878FA">
        <w:rPr>
          <w:rFonts w:ascii="Minion Pro" w:hAnsi="Minion Pro"/>
        </w:rPr>
        <w:t>minoritas</w:t>
      </w:r>
      <w:proofErr w:type="spellEnd"/>
      <w:r w:rsidRPr="00E878FA">
        <w:rPr>
          <w:rFonts w:ascii="Minion Pro" w:hAnsi="Minion Pro"/>
        </w:rPr>
        <w:t xml:space="preserve"> </w:t>
      </w:r>
      <w:proofErr w:type="spellStart"/>
      <w:r w:rsidRPr="00E878FA">
        <w:rPr>
          <w:rFonts w:ascii="Minion Pro" w:hAnsi="Minion Pro"/>
        </w:rPr>
        <w:t>keagamaan</w:t>
      </w:r>
      <w:proofErr w:type="spellEnd"/>
      <w:r w:rsidRPr="00E878FA">
        <w:rPr>
          <w:rFonts w:ascii="Minion Pro" w:hAnsi="Minion Pro"/>
        </w:rPr>
        <w:t xml:space="preserve"> </w:t>
      </w:r>
      <w:proofErr w:type="spellStart"/>
      <w:r w:rsidRPr="00E878FA">
        <w:rPr>
          <w:rFonts w:ascii="Minion Pro" w:hAnsi="Minion Pro"/>
        </w:rPr>
        <w:t>berada</w:t>
      </w:r>
      <w:proofErr w:type="spellEnd"/>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satu</w:t>
      </w:r>
      <w:proofErr w:type="spellEnd"/>
      <w:r w:rsidRPr="00E878FA">
        <w:rPr>
          <w:rFonts w:ascii="Minion Pro" w:hAnsi="Minion Pro"/>
        </w:rPr>
        <w:t xml:space="preserve"> </w:t>
      </w:r>
      <w:proofErr w:type="spellStart"/>
      <w:r w:rsidRPr="00E878FA">
        <w:rPr>
          <w:rFonts w:ascii="Minion Pro" w:hAnsi="Minion Pro"/>
        </w:rPr>
        <w:t>tarikan</w:t>
      </w:r>
      <w:proofErr w:type="spellEnd"/>
      <w:r w:rsidRPr="00E878FA">
        <w:rPr>
          <w:rFonts w:ascii="Minion Pro" w:hAnsi="Minion Pro"/>
        </w:rPr>
        <w:t xml:space="preserve"> </w:t>
      </w:r>
      <w:proofErr w:type="spellStart"/>
      <w:r w:rsidRPr="00E878FA">
        <w:rPr>
          <w:rFonts w:ascii="Minion Pro" w:hAnsi="Minion Pro"/>
        </w:rPr>
        <w:t>nafas</w:t>
      </w:r>
      <w:proofErr w:type="spellEnd"/>
      <w:r w:rsidRPr="00E878FA">
        <w:rPr>
          <w:rFonts w:ascii="Minion Pro" w:hAnsi="Minion Pro"/>
        </w:rPr>
        <w:t xml:space="preserve"> </w:t>
      </w:r>
      <w:proofErr w:type="spellStart"/>
      <w:r w:rsidRPr="00E878FA">
        <w:rPr>
          <w:rFonts w:ascii="Minion Pro" w:hAnsi="Minion Pro"/>
        </w:rPr>
        <w:t>dengan</w:t>
      </w:r>
      <w:proofErr w:type="spellEnd"/>
      <w:r w:rsidRPr="00E878FA">
        <w:rPr>
          <w:rFonts w:ascii="Minion Pro" w:hAnsi="Minion Pro"/>
        </w:rPr>
        <w:t xml:space="preserve"> </w:t>
      </w:r>
      <w:proofErr w:type="spellStart"/>
      <w:r w:rsidRPr="00E878FA">
        <w:rPr>
          <w:rFonts w:ascii="Minion Pro" w:hAnsi="Minion Pro"/>
        </w:rPr>
        <w:t>pemenuhan</w:t>
      </w:r>
      <w:proofErr w:type="spellEnd"/>
      <w:r w:rsidRPr="00E878FA">
        <w:rPr>
          <w:rFonts w:ascii="Minion Pro" w:hAnsi="Minion Pro"/>
        </w:rPr>
        <w:t xml:space="preserve"> </w:t>
      </w:r>
      <w:proofErr w:type="spellStart"/>
      <w:r w:rsidRPr="00E878FA">
        <w:rPr>
          <w:rFonts w:ascii="Minion Pro" w:hAnsi="Minion Pro"/>
        </w:rPr>
        <w:t>hak</w:t>
      </w:r>
      <w:proofErr w:type="spellEnd"/>
      <w:r w:rsidRPr="00E878FA">
        <w:rPr>
          <w:rFonts w:ascii="Minion Pro" w:hAnsi="Minion Pro"/>
        </w:rPr>
        <w:t xml:space="preserve"> </w:t>
      </w:r>
      <w:proofErr w:type="spellStart"/>
      <w:r w:rsidRPr="00E878FA">
        <w:rPr>
          <w:rFonts w:ascii="Minion Pro" w:hAnsi="Minion Pro"/>
        </w:rPr>
        <w:t>dasar</w:t>
      </w:r>
      <w:proofErr w:type="spellEnd"/>
      <w:r w:rsidRPr="00E878FA">
        <w:rPr>
          <w:rFonts w:ascii="Minion Pro" w:hAnsi="Minion Pro"/>
        </w:rPr>
        <w:t xml:space="preserve"> </w:t>
      </w:r>
      <w:proofErr w:type="spellStart"/>
      <w:r w:rsidRPr="00E878FA">
        <w:rPr>
          <w:rFonts w:ascii="Minion Pro" w:hAnsi="Minion Pro"/>
        </w:rPr>
        <w:t>atas</w:t>
      </w:r>
      <w:proofErr w:type="spellEnd"/>
      <w:r w:rsidRPr="00E878FA">
        <w:rPr>
          <w:rFonts w:ascii="Minion Pro" w:hAnsi="Minion Pro"/>
        </w:rPr>
        <w:t xml:space="preserve"> </w:t>
      </w:r>
      <w:proofErr w:type="spellStart"/>
      <w:r w:rsidRPr="00E878FA">
        <w:rPr>
          <w:rFonts w:ascii="Minion Pro" w:hAnsi="Minion Pro"/>
        </w:rPr>
        <w:t>kebebasan</w:t>
      </w:r>
      <w:proofErr w:type="spellEnd"/>
      <w:r w:rsidRPr="00E878FA">
        <w:rPr>
          <w:rFonts w:ascii="Minion Pro" w:hAnsi="Minion Pro"/>
        </w:rPr>
        <w:t xml:space="preserve"> </w:t>
      </w:r>
      <w:proofErr w:type="spellStart"/>
      <w:r w:rsidRPr="00E878FA">
        <w:rPr>
          <w:rFonts w:ascii="Minion Pro" w:hAnsi="Minion Pro"/>
        </w:rPr>
        <w:t>beragama</w:t>
      </w:r>
      <w:proofErr w:type="spellEnd"/>
      <w:r w:rsidRPr="00E878FA">
        <w:rPr>
          <w:rFonts w:ascii="Minion Pro" w:hAnsi="Minion Pro"/>
        </w:rPr>
        <w:t>/</w:t>
      </w:r>
      <w:proofErr w:type="spellStart"/>
      <w:r w:rsidRPr="00E878FA">
        <w:rPr>
          <w:rFonts w:ascii="Minion Pro" w:hAnsi="Minion Pro"/>
        </w:rPr>
        <w:t>berkeyakinan</w:t>
      </w:r>
      <w:proofErr w:type="spellEnd"/>
      <w:r w:rsidRPr="00E878FA">
        <w:rPr>
          <w:rFonts w:ascii="Minion Pro" w:hAnsi="Minion Pro"/>
        </w:rPr>
        <w:t>.</w:t>
      </w:r>
      <w:proofErr w:type="gramEnd"/>
      <w:r w:rsidRPr="00E878FA">
        <w:rPr>
          <w:rFonts w:ascii="Minion Pro" w:hAnsi="Minion Pro"/>
        </w:rPr>
        <w:t xml:space="preserve"> </w:t>
      </w:r>
      <w:proofErr w:type="spellStart"/>
      <w:proofErr w:type="gram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relasional</w:t>
      </w:r>
      <w:proofErr w:type="spellEnd"/>
      <w:r w:rsidRPr="00E878FA">
        <w:rPr>
          <w:rFonts w:ascii="Minion Pro" w:hAnsi="Minion Pro"/>
        </w:rPr>
        <w:t xml:space="preserve">, KBB </w:t>
      </w:r>
      <w:proofErr w:type="spellStart"/>
      <w:r w:rsidRPr="00E878FA">
        <w:rPr>
          <w:rFonts w:ascii="Minion Pro" w:hAnsi="Minion Pro"/>
        </w:rPr>
        <w:t>beririsan</w:t>
      </w:r>
      <w:proofErr w:type="spellEnd"/>
      <w:r w:rsidRPr="00E878FA">
        <w:rPr>
          <w:rFonts w:ascii="Minion Pro" w:hAnsi="Minion Pro"/>
        </w:rPr>
        <w:t xml:space="preserve"> </w:t>
      </w:r>
      <w:proofErr w:type="spellStart"/>
      <w:r w:rsidRPr="00E878FA">
        <w:rPr>
          <w:rFonts w:ascii="Minion Pro" w:hAnsi="Minion Pro"/>
        </w:rPr>
        <w:t>dengan</w:t>
      </w:r>
      <w:proofErr w:type="spellEnd"/>
      <w:r w:rsidRPr="00E878FA">
        <w:rPr>
          <w:rFonts w:ascii="Minion Pro" w:hAnsi="Minion Pro"/>
        </w:rPr>
        <w:t xml:space="preserve"> KBB yang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berbagai</w:t>
      </w:r>
      <w:proofErr w:type="spellEnd"/>
      <w:r w:rsidRPr="00E878FA">
        <w:rPr>
          <w:rFonts w:ascii="Minion Pro" w:hAnsi="Minion Pro"/>
        </w:rPr>
        <w:t xml:space="preserve"> </w:t>
      </w:r>
      <w:proofErr w:type="spellStart"/>
      <w:r w:rsidRPr="00E878FA">
        <w:rPr>
          <w:rFonts w:ascii="Minion Pro" w:hAnsi="Minion Pro"/>
        </w:rPr>
        <w:t>instrumen</w:t>
      </w:r>
      <w:proofErr w:type="spellEnd"/>
      <w:r w:rsidRPr="00E878FA">
        <w:rPr>
          <w:rFonts w:ascii="Minion Pro" w:hAnsi="Minion Pro"/>
        </w:rPr>
        <w:t xml:space="preserve"> </w:t>
      </w:r>
      <w:proofErr w:type="spellStart"/>
      <w:r w:rsidRPr="00E878FA">
        <w:rPr>
          <w:rFonts w:ascii="Minion Pro" w:hAnsi="Minion Pro"/>
        </w:rPr>
        <w:t>hak</w:t>
      </w:r>
      <w:proofErr w:type="spellEnd"/>
      <w:r w:rsidRPr="00E878FA">
        <w:rPr>
          <w:rFonts w:ascii="Minion Pro" w:hAnsi="Minion Pro"/>
        </w:rPr>
        <w:t xml:space="preserve"> </w:t>
      </w:r>
      <w:proofErr w:type="spellStart"/>
      <w:r w:rsidRPr="00E878FA">
        <w:rPr>
          <w:rFonts w:ascii="Minion Pro" w:hAnsi="Minion Pro"/>
        </w:rPr>
        <w:t>asasi</w:t>
      </w:r>
      <w:proofErr w:type="spellEnd"/>
      <w:r w:rsidRPr="00E878FA">
        <w:rPr>
          <w:rFonts w:ascii="Minion Pro" w:hAnsi="Minion Pro"/>
        </w:rPr>
        <w:t xml:space="preserve"> </w:t>
      </w:r>
      <w:proofErr w:type="spellStart"/>
      <w:r w:rsidRPr="00E878FA">
        <w:rPr>
          <w:rFonts w:ascii="Minion Pro" w:hAnsi="Minion Pro"/>
        </w:rPr>
        <w:t>manusia</w:t>
      </w:r>
      <w:proofErr w:type="spellEnd"/>
      <w:r w:rsidRPr="00E878FA">
        <w:rPr>
          <w:rFonts w:ascii="Minion Pro" w:hAnsi="Minion Pro"/>
        </w:rPr>
        <w:t xml:space="preserve"> </w:t>
      </w:r>
      <w:proofErr w:type="spellStart"/>
      <w:r w:rsidRPr="00E878FA">
        <w:rPr>
          <w:rFonts w:ascii="Minion Pro" w:hAnsi="Minion Pro"/>
        </w:rPr>
        <w:t>internasional</w:t>
      </w:r>
      <w:proofErr w:type="spellEnd"/>
      <w:r w:rsidRPr="00E878FA">
        <w:rPr>
          <w:rFonts w:ascii="Minion Pro" w:hAnsi="Minion Pro"/>
        </w:rPr>
        <w:t xml:space="preserve"> </w:t>
      </w:r>
      <w:proofErr w:type="spellStart"/>
      <w:r w:rsidRPr="00E878FA">
        <w:rPr>
          <w:rFonts w:ascii="Minion Pro" w:hAnsi="Minion Pro"/>
        </w:rPr>
        <w:t>mendapat</w:t>
      </w:r>
      <w:proofErr w:type="spellEnd"/>
      <w:r w:rsidRPr="00E878FA">
        <w:rPr>
          <w:rFonts w:ascii="Minion Pro" w:hAnsi="Minion Pro"/>
        </w:rPr>
        <w:t xml:space="preserve"> </w:t>
      </w:r>
      <w:proofErr w:type="spellStart"/>
      <w:r w:rsidRPr="00E878FA">
        <w:rPr>
          <w:rFonts w:ascii="Minion Pro" w:hAnsi="Minion Pro"/>
        </w:rPr>
        <w:t>jaminan</w:t>
      </w:r>
      <w:proofErr w:type="spellEnd"/>
      <w:r w:rsidRPr="00E878FA">
        <w:rPr>
          <w:rFonts w:ascii="Minion Pro" w:hAnsi="Minion Pro"/>
        </w:rPr>
        <w:t xml:space="preserve"> </w:t>
      </w:r>
      <w:proofErr w:type="spellStart"/>
      <w:r w:rsidRPr="00E878FA">
        <w:rPr>
          <w:rFonts w:ascii="Minion Pro" w:hAnsi="Minion Pro"/>
        </w:rPr>
        <w:t>memadai</w:t>
      </w:r>
      <w:proofErr w:type="spellEnd"/>
      <w:r w:rsidRPr="00E878FA">
        <w:rPr>
          <w:rFonts w:ascii="Minion Pro" w:hAnsi="Minion Pro"/>
        </w:rPr>
        <w:t xml:space="preserve"> </w:t>
      </w:r>
      <w:proofErr w:type="spellStart"/>
      <w:r w:rsidRPr="00E878FA">
        <w:rPr>
          <w:rFonts w:ascii="Minion Pro" w:hAnsi="Minion Pro"/>
        </w:rPr>
        <w:t>sebagai</w:t>
      </w:r>
      <w:proofErr w:type="spellEnd"/>
      <w:r w:rsidRPr="00E878FA">
        <w:rPr>
          <w:rFonts w:ascii="Minion Pro" w:hAnsi="Minion Pro"/>
        </w:rPr>
        <w:t xml:space="preserve"> </w:t>
      </w:r>
      <w:proofErr w:type="spellStart"/>
      <w:r w:rsidRPr="00E878FA">
        <w:rPr>
          <w:rFonts w:ascii="Minion Pro" w:hAnsi="Minion Pro"/>
        </w:rPr>
        <w:t>hak</w:t>
      </w:r>
      <w:proofErr w:type="spellEnd"/>
      <w:r w:rsidRPr="00E878FA">
        <w:rPr>
          <w:rFonts w:ascii="Minion Pro" w:hAnsi="Minion Pro"/>
        </w:rPr>
        <w:t xml:space="preserve"> individual.</w:t>
      </w:r>
      <w:proofErr w:type="gramEnd"/>
    </w:p>
    <w:p w:rsidR="00DD75DB" w:rsidRDefault="009E0B2B" w:rsidP="009E0B2B">
      <w:pPr>
        <w:rPr>
          <w:rFonts w:ascii="Minion Pro" w:hAnsi="Minion Pro"/>
        </w:rPr>
      </w:pPr>
      <w:proofErr w:type="gramStart"/>
      <w:r w:rsidRPr="00E878FA">
        <w:rPr>
          <w:rFonts w:ascii="Minion Pro" w:hAnsi="Minion Pro"/>
        </w:rPr>
        <w:t xml:space="preserve">KBB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substantif</w:t>
      </w:r>
      <w:proofErr w:type="spellEnd"/>
      <w:r w:rsidRPr="00E878FA">
        <w:rPr>
          <w:rFonts w:ascii="Minion Pro" w:hAnsi="Minion Pro"/>
        </w:rPr>
        <w:t xml:space="preserve"> </w:t>
      </w:r>
      <w:proofErr w:type="spellStart"/>
      <w:r w:rsidRPr="00E878FA">
        <w:rPr>
          <w:rFonts w:ascii="Minion Pro" w:hAnsi="Minion Pro"/>
        </w:rPr>
        <w:t>dipandang</w:t>
      </w:r>
      <w:proofErr w:type="spellEnd"/>
      <w:r w:rsidRPr="00E878FA">
        <w:rPr>
          <w:rFonts w:ascii="Minion Pro" w:hAnsi="Minion Pro"/>
        </w:rPr>
        <w:t xml:space="preserve"> </w:t>
      </w:r>
      <w:proofErr w:type="spellStart"/>
      <w:r w:rsidRPr="00E878FA">
        <w:rPr>
          <w:rFonts w:ascii="Minion Pro" w:hAnsi="Minion Pro"/>
        </w:rPr>
        <w:t>sebagai</w:t>
      </w:r>
      <w:proofErr w:type="spellEnd"/>
      <w:r w:rsidRPr="00E878FA">
        <w:rPr>
          <w:rFonts w:ascii="Minion Pro" w:hAnsi="Minion Pro"/>
        </w:rPr>
        <w:t xml:space="preserve"> </w:t>
      </w:r>
      <w:proofErr w:type="spellStart"/>
      <w:r w:rsidRPr="00E878FA">
        <w:rPr>
          <w:rFonts w:ascii="Minion Pro" w:hAnsi="Minion Pro"/>
        </w:rPr>
        <w:t>hak</w:t>
      </w:r>
      <w:proofErr w:type="spellEnd"/>
      <w:r w:rsidRPr="00E878FA">
        <w:rPr>
          <w:rFonts w:ascii="Minion Pro" w:hAnsi="Minion Pro"/>
        </w:rPr>
        <w:t xml:space="preserve"> </w:t>
      </w:r>
      <w:proofErr w:type="spellStart"/>
      <w:r w:rsidRPr="00E878FA">
        <w:rPr>
          <w:rFonts w:ascii="Minion Pro" w:hAnsi="Minion Pro"/>
        </w:rPr>
        <w:t>individu</w:t>
      </w:r>
      <w:proofErr w:type="spellEnd"/>
      <w:r w:rsidRPr="00E878FA">
        <w:rPr>
          <w:rFonts w:ascii="Minion Pro" w:hAnsi="Minion Pro"/>
        </w:rPr>
        <w:t xml:space="preserve"> yang </w:t>
      </w:r>
      <w:proofErr w:type="spellStart"/>
      <w:r w:rsidRPr="00E878FA">
        <w:rPr>
          <w:rFonts w:ascii="Minion Pro" w:hAnsi="Minion Pro"/>
        </w:rPr>
        <w:t>tidak</w:t>
      </w:r>
      <w:proofErr w:type="spellEnd"/>
      <w:r w:rsidRPr="00E878FA">
        <w:rPr>
          <w:rFonts w:ascii="Minion Pro" w:hAnsi="Minion Pro"/>
        </w:rPr>
        <w:t xml:space="preserve"> </w:t>
      </w:r>
      <w:proofErr w:type="spellStart"/>
      <w:r w:rsidRPr="00E878FA">
        <w:rPr>
          <w:rFonts w:ascii="Minion Pro" w:hAnsi="Minion Pro"/>
        </w:rPr>
        <w:t>bisa</w:t>
      </w:r>
      <w:proofErr w:type="spellEnd"/>
      <w:r w:rsidRPr="00E878FA">
        <w:rPr>
          <w:rFonts w:ascii="Minion Pro" w:hAnsi="Minion Pro"/>
        </w:rPr>
        <w:t xml:space="preserve"> </w:t>
      </w:r>
      <w:proofErr w:type="spellStart"/>
      <w:r w:rsidRPr="00E878FA">
        <w:rPr>
          <w:rFonts w:ascii="Minion Pro" w:hAnsi="Minion Pro"/>
        </w:rPr>
        <w:t>dikurangi</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tidak</w:t>
      </w:r>
      <w:proofErr w:type="spellEnd"/>
      <w:r w:rsidRPr="00E878FA">
        <w:rPr>
          <w:rFonts w:ascii="Minion Pro" w:hAnsi="Minion Pro"/>
        </w:rPr>
        <w:t xml:space="preserve"> </w:t>
      </w:r>
      <w:proofErr w:type="spellStart"/>
      <w:r w:rsidRPr="00E878FA">
        <w:rPr>
          <w:rFonts w:ascii="Minion Pro" w:hAnsi="Minion Pro"/>
        </w:rPr>
        <w:t>bisa</w:t>
      </w:r>
      <w:proofErr w:type="spellEnd"/>
      <w:r w:rsidRPr="00E878FA">
        <w:rPr>
          <w:rFonts w:ascii="Minion Pro" w:hAnsi="Minion Pro"/>
        </w:rPr>
        <w:t xml:space="preserve"> </w:t>
      </w:r>
      <w:proofErr w:type="spellStart"/>
      <w:r w:rsidRPr="00E878FA">
        <w:rPr>
          <w:rFonts w:ascii="Minion Pro" w:hAnsi="Minion Pro"/>
        </w:rPr>
        <w:t>ditunda</w:t>
      </w:r>
      <w:proofErr w:type="spellEnd"/>
      <w:r w:rsidRPr="00E878FA">
        <w:rPr>
          <w:rFonts w:ascii="Minion Pro" w:hAnsi="Minion Pro"/>
        </w:rPr>
        <w:t xml:space="preserve"> </w:t>
      </w:r>
      <w:proofErr w:type="spellStart"/>
      <w:r w:rsidRPr="00E878FA">
        <w:rPr>
          <w:rFonts w:ascii="Minion Pro" w:hAnsi="Minion Pro"/>
        </w:rPr>
        <w:t>pemenuhannya</w:t>
      </w:r>
      <w:proofErr w:type="spellEnd"/>
      <w:r w:rsidRPr="00E878FA">
        <w:rPr>
          <w:rFonts w:ascii="Minion Pro" w:hAnsi="Minion Pro"/>
        </w:rPr>
        <w:t xml:space="preserve"> (</w:t>
      </w:r>
      <w:r w:rsidRPr="00E878FA">
        <w:rPr>
          <w:rFonts w:ascii="Minion Pro" w:hAnsi="Minion Pro"/>
          <w:i/>
        </w:rPr>
        <w:t xml:space="preserve">non </w:t>
      </w:r>
      <w:proofErr w:type="spellStart"/>
      <w:r w:rsidRPr="00E878FA">
        <w:rPr>
          <w:rFonts w:ascii="Minion Pro" w:hAnsi="Minion Pro"/>
          <w:i/>
        </w:rPr>
        <w:t>derogable</w:t>
      </w:r>
      <w:proofErr w:type="spellEnd"/>
      <w:r w:rsidRPr="00E878FA">
        <w:rPr>
          <w:rFonts w:ascii="Minion Pro" w:hAnsi="Minion Pro"/>
          <w:i/>
        </w:rPr>
        <w:t xml:space="preserve"> rights</w:t>
      </w:r>
      <w:r w:rsidRPr="00E878FA">
        <w:rPr>
          <w:rFonts w:ascii="Minion Pro" w:hAnsi="Minion Pro"/>
        </w:rPr>
        <w:t>).</w:t>
      </w:r>
      <w:proofErr w:type="gramEnd"/>
      <w:r w:rsidRPr="00E878FA">
        <w:rPr>
          <w:rFonts w:ascii="Minion Pro" w:hAnsi="Minion Pro"/>
        </w:rPr>
        <w:t xml:space="preserve"> </w:t>
      </w:r>
      <w:proofErr w:type="spellStart"/>
      <w:r w:rsidRPr="00E878FA">
        <w:rPr>
          <w:rFonts w:ascii="Minion Pro" w:hAnsi="Minion Pro"/>
        </w:rPr>
        <w:t>Oleh</w:t>
      </w:r>
      <w:proofErr w:type="spellEnd"/>
      <w:r w:rsidRPr="00E878FA">
        <w:rPr>
          <w:rFonts w:ascii="Minion Pro" w:hAnsi="Minion Pro"/>
        </w:rPr>
        <w:t xml:space="preserve"> </w:t>
      </w:r>
      <w:proofErr w:type="spellStart"/>
      <w:r w:rsidRPr="00E878FA">
        <w:rPr>
          <w:rFonts w:ascii="Minion Pro" w:hAnsi="Minion Pro"/>
        </w:rPr>
        <w:t>karena</w:t>
      </w:r>
      <w:proofErr w:type="spellEnd"/>
      <w:r w:rsidRPr="00E878FA">
        <w:rPr>
          <w:rFonts w:ascii="Minion Pro" w:hAnsi="Minion Pro"/>
        </w:rPr>
        <w:t xml:space="preserve"> </w:t>
      </w:r>
      <w:proofErr w:type="spellStart"/>
      <w:r w:rsidRPr="00E878FA">
        <w:rPr>
          <w:rFonts w:ascii="Minion Pro" w:hAnsi="Minion Pro"/>
        </w:rPr>
        <w:t>itu</w:t>
      </w:r>
      <w:proofErr w:type="spellEnd"/>
      <w:r w:rsidRPr="00E878FA">
        <w:rPr>
          <w:rFonts w:ascii="Minion Pro" w:hAnsi="Minion Pro"/>
        </w:rPr>
        <w:t xml:space="preserve">, </w:t>
      </w:r>
      <w:proofErr w:type="spellStart"/>
      <w:r w:rsidRPr="00E878FA">
        <w:rPr>
          <w:rFonts w:ascii="Minion Pro" w:hAnsi="Minion Pro"/>
        </w:rPr>
        <w:t>kebebasan</w:t>
      </w:r>
      <w:proofErr w:type="spellEnd"/>
      <w:r w:rsidRPr="00E878FA">
        <w:rPr>
          <w:rFonts w:ascii="Minion Pro" w:hAnsi="Minion Pro"/>
        </w:rPr>
        <w:t xml:space="preserve"> </w:t>
      </w:r>
      <w:proofErr w:type="spellStart"/>
      <w:r w:rsidRPr="00E878FA">
        <w:rPr>
          <w:rFonts w:ascii="Minion Pro" w:hAnsi="Minion Pro"/>
        </w:rPr>
        <w:t>beragama</w:t>
      </w:r>
      <w:proofErr w:type="spellEnd"/>
      <w:r w:rsidRPr="00E878FA">
        <w:rPr>
          <w:rFonts w:ascii="Minion Pro" w:hAnsi="Minion Pro"/>
        </w:rPr>
        <w:t>/</w:t>
      </w:r>
      <w:proofErr w:type="spellStart"/>
      <w:r w:rsidRPr="00E878FA">
        <w:rPr>
          <w:rFonts w:ascii="Minion Pro" w:hAnsi="Minion Pro"/>
        </w:rPr>
        <w:t>berkeyakinan</w:t>
      </w:r>
      <w:proofErr w:type="spellEnd"/>
      <w:r w:rsidRPr="00E878FA">
        <w:rPr>
          <w:rFonts w:ascii="Minion Pro" w:hAnsi="Minion Pro"/>
        </w:rPr>
        <w:t xml:space="preserve"> </w:t>
      </w:r>
      <w:proofErr w:type="spellStart"/>
      <w:r w:rsidRPr="00E878FA">
        <w:rPr>
          <w:rFonts w:ascii="Minion Pro" w:hAnsi="Minion Pro"/>
        </w:rPr>
        <w:t>baik</w:t>
      </w:r>
      <w:proofErr w:type="spellEnd"/>
      <w:r w:rsidRPr="00E878FA">
        <w:rPr>
          <w:rFonts w:ascii="Minion Pro" w:hAnsi="Minion Pro"/>
        </w:rPr>
        <w:t xml:space="preserve"> </w:t>
      </w:r>
      <w:proofErr w:type="spellStart"/>
      <w:r w:rsidRPr="00E878FA">
        <w:rPr>
          <w:rFonts w:ascii="Minion Pro" w:hAnsi="Minion Pro"/>
        </w:rPr>
        <w:t>untuk</w:t>
      </w:r>
      <w:proofErr w:type="spellEnd"/>
      <w:r w:rsidRPr="00E878FA">
        <w:rPr>
          <w:rFonts w:ascii="Minion Pro" w:hAnsi="Minion Pro"/>
        </w:rPr>
        <w:t xml:space="preserve"> </w:t>
      </w:r>
      <w:proofErr w:type="spellStart"/>
      <w:r w:rsidRPr="00E878FA">
        <w:rPr>
          <w:rFonts w:ascii="Minion Pro" w:hAnsi="Minion Pro"/>
        </w:rPr>
        <w:t>individu</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maupun</w:t>
      </w:r>
      <w:proofErr w:type="spellEnd"/>
    </w:p>
    <w:p w:rsidR="009A0BB9" w:rsidRDefault="009A0BB9" w:rsidP="009E0B2B">
      <w:pPr>
        <w:rPr>
          <w:rFonts w:ascii="Minion Pro" w:hAnsi="Minion Pro"/>
        </w:rPr>
      </w:pPr>
    </w:p>
    <w:p w:rsidR="009A0BB9" w:rsidRDefault="009A0BB9" w:rsidP="009E0B2B">
      <w:pPr>
        <w:rPr>
          <w:rFonts w:ascii="Minion Pro" w:hAnsi="Minion Pro"/>
        </w:rPr>
      </w:pPr>
    </w:p>
    <w:p w:rsidR="009A0BB9" w:rsidRDefault="009A0BB9" w:rsidP="009E0B2B">
      <w:pPr>
        <w:rPr>
          <w:rFonts w:ascii="Minion Pro" w:hAnsi="Minion Pro"/>
        </w:rPr>
      </w:pPr>
    </w:p>
    <w:p w:rsidR="009A0BB9" w:rsidRDefault="009A0BB9" w:rsidP="009E0B2B">
      <w:pPr>
        <w:rPr>
          <w:rFonts w:ascii="Minion Pro" w:hAnsi="Minion Pro"/>
        </w:rPr>
      </w:pPr>
    </w:p>
    <w:p w:rsidR="009A0BB9" w:rsidRDefault="009A0BB9" w:rsidP="009A0BB9">
      <w:pPr>
        <w:pStyle w:val="ListParagraph"/>
        <w:numPr>
          <w:ilvl w:val="0"/>
          <w:numId w:val="2"/>
        </w:numPr>
        <w:jc w:val="both"/>
        <w:rPr>
          <w:rFonts w:ascii="Times New Roman" w:hAnsi="Times New Roman" w:cs="Times New Roman"/>
          <w:color w:val="000000"/>
          <w:sz w:val="24"/>
        </w:rPr>
      </w:pPr>
      <w:proofErr w:type="spellStart"/>
      <w:r w:rsidRPr="009A0BB9">
        <w:rPr>
          <w:rFonts w:ascii="Times New Roman" w:hAnsi="Times New Roman" w:cs="Times New Roman"/>
          <w:color w:val="000000"/>
          <w:sz w:val="24"/>
        </w:rPr>
        <w:t>Contexte</w:t>
      </w:r>
      <w:proofErr w:type="spellEnd"/>
      <w:r w:rsidRPr="009A0BB9">
        <w:rPr>
          <w:rFonts w:ascii="Times New Roman" w:hAnsi="Times New Roman" w:cs="Times New Roman"/>
          <w:color w:val="000000"/>
          <w:sz w:val="24"/>
        </w:rPr>
        <w:br/>
      </w:r>
    </w:p>
    <w:p w:rsidR="009A0BB9" w:rsidRDefault="009A0BB9" w:rsidP="009A0BB9">
      <w:pPr>
        <w:pStyle w:val="ListParagraph"/>
        <w:spacing w:line="480" w:lineRule="auto"/>
        <w:rPr>
          <w:rFonts w:ascii="Times New Roman" w:hAnsi="Times New Roman" w:cs="Times New Roman"/>
          <w:color w:val="000000"/>
          <w:sz w:val="24"/>
        </w:rPr>
      </w:pPr>
      <w:proofErr w:type="spellStart"/>
      <w:r w:rsidRPr="009A0BB9">
        <w:rPr>
          <w:rFonts w:ascii="Times New Roman" w:hAnsi="Times New Roman" w:cs="Times New Roman"/>
          <w:color w:val="000000"/>
          <w:sz w:val="24"/>
        </w:rPr>
        <w:t>L’année</w:t>
      </w:r>
      <w:proofErr w:type="spellEnd"/>
      <w:r w:rsidRPr="009A0BB9">
        <w:rPr>
          <w:rFonts w:ascii="Times New Roman" w:hAnsi="Times New Roman" w:cs="Times New Roman"/>
          <w:color w:val="000000"/>
          <w:sz w:val="24"/>
        </w:rPr>
        <w:t xml:space="preserve"> 2016 </w:t>
      </w:r>
      <w:proofErr w:type="spellStart"/>
      <w:r w:rsidRPr="009A0BB9">
        <w:rPr>
          <w:rFonts w:ascii="Times New Roman" w:hAnsi="Times New Roman" w:cs="Times New Roman"/>
          <w:color w:val="000000"/>
          <w:sz w:val="24"/>
        </w:rPr>
        <w:t>représente</w:t>
      </w:r>
      <w:proofErr w:type="spellEnd"/>
      <w:r w:rsidRPr="009A0BB9">
        <w:rPr>
          <w:rFonts w:ascii="Times New Roman" w:hAnsi="Times New Roman" w:cs="Times New Roman"/>
          <w:color w:val="000000"/>
          <w:sz w:val="24"/>
        </w:rPr>
        <w:t xml:space="preserve"> le du 10eme </w:t>
      </w:r>
      <w:proofErr w:type="spellStart"/>
      <w:r w:rsidRPr="009A0BB9">
        <w:rPr>
          <w:rFonts w:ascii="Times New Roman" w:hAnsi="Times New Roman" w:cs="Times New Roman"/>
          <w:color w:val="000000"/>
          <w:sz w:val="24"/>
        </w:rPr>
        <w:t>année</w:t>
      </w:r>
      <w:proofErr w:type="spellEnd"/>
      <w:r w:rsidRPr="009A0BB9">
        <w:rPr>
          <w:rFonts w:ascii="Times New Roman" w:hAnsi="Times New Roman" w:cs="Times New Roman"/>
          <w:color w:val="000000"/>
          <w:sz w:val="24"/>
        </w:rPr>
        <w:t xml:space="preserve"> de </w:t>
      </w:r>
      <w:proofErr w:type="spellStart"/>
      <w:r w:rsidRPr="009A0BB9">
        <w:rPr>
          <w:rFonts w:ascii="Times New Roman" w:hAnsi="Times New Roman" w:cs="Times New Roman"/>
          <w:color w:val="000000"/>
          <w:sz w:val="24"/>
        </w:rPr>
        <w:t>l’Instituts</w:t>
      </w:r>
      <w:proofErr w:type="spellEnd"/>
      <w:r w:rsidRPr="009A0BB9">
        <w:rPr>
          <w:rFonts w:ascii="Times New Roman" w:hAnsi="Times New Roman" w:cs="Times New Roman"/>
          <w:color w:val="000000"/>
          <w:sz w:val="24"/>
        </w:rPr>
        <w:t xml:space="preserve"> SETEARA q</w:t>
      </w:r>
      <w:r w:rsidRPr="009A0BB9">
        <w:rPr>
          <w:rFonts w:ascii="Times New Roman" w:hAnsi="Times New Roman" w:cs="Times New Roman"/>
          <w:color w:val="000000"/>
          <w:sz w:val="24"/>
        </w:rPr>
        <w:t xml:space="preserve">ui </w:t>
      </w:r>
      <w:proofErr w:type="spellStart"/>
      <w:r w:rsidRPr="009A0BB9">
        <w:rPr>
          <w:rFonts w:ascii="Times New Roman" w:hAnsi="Times New Roman" w:cs="Times New Roman"/>
          <w:color w:val="000000"/>
          <w:sz w:val="24"/>
        </w:rPr>
        <w:t>mène</w:t>
      </w:r>
      <w:proofErr w:type="spellEnd"/>
      <w:r w:rsidRPr="009A0BB9">
        <w:rPr>
          <w:rFonts w:ascii="Times New Roman" w:hAnsi="Times New Roman" w:cs="Times New Roman"/>
          <w:color w:val="000000"/>
          <w:sz w:val="24"/>
        </w:rPr>
        <w:t xml:space="preserve"> des </w:t>
      </w:r>
      <w:proofErr w:type="spellStart"/>
      <w:r w:rsidRPr="009A0BB9">
        <w:rPr>
          <w:rFonts w:ascii="Times New Roman" w:hAnsi="Times New Roman" w:cs="Times New Roman"/>
          <w:color w:val="000000"/>
          <w:sz w:val="24"/>
        </w:rPr>
        <w:t>recherches</w:t>
      </w:r>
      <w:proofErr w:type="spellEnd"/>
      <w:r w:rsidRPr="009A0BB9">
        <w:rPr>
          <w:rFonts w:ascii="Times New Roman" w:hAnsi="Times New Roman" w:cs="Times New Roman"/>
          <w:color w:val="000000"/>
          <w:sz w:val="24"/>
        </w:rPr>
        <w:t xml:space="preserve"> et de la </w:t>
      </w:r>
      <w:r w:rsidRPr="009A0BB9">
        <w:rPr>
          <w:rFonts w:ascii="Times New Roman" w:hAnsi="Times New Roman" w:cs="Times New Roman"/>
          <w:color w:val="000000"/>
          <w:sz w:val="24"/>
        </w:rPr>
        <w:t xml:space="preserve">surveillance de </w:t>
      </w:r>
      <w:proofErr w:type="spellStart"/>
      <w:r w:rsidRPr="009A0BB9">
        <w:rPr>
          <w:rFonts w:ascii="Times New Roman" w:hAnsi="Times New Roman" w:cs="Times New Roman"/>
          <w:color w:val="000000"/>
          <w:sz w:val="24"/>
        </w:rPr>
        <w:t>l'état</w:t>
      </w:r>
      <w:proofErr w:type="spellEnd"/>
      <w:r w:rsidRPr="009A0BB9">
        <w:rPr>
          <w:rFonts w:ascii="Times New Roman" w:hAnsi="Times New Roman" w:cs="Times New Roman"/>
          <w:color w:val="000000"/>
          <w:sz w:val="24"/>
        </w:rPr>
        <w:t xml:space="preserve"> de la </w:t>
      </w:r>
      <w:proofErr w:type="spellStart"/>
      <w:r w:rsidRPr="009A0BB9">
        <w:rPr>
          <w:rFonts w:ascii="Times New Roman" w:hAnsi="Times New Roman" w:cs="Times New Roman"/>
          <w:color w:val="000000"/>
          <w:sz w:val="24"/>
        </w:rPr>
        <w:t>liberté</w:t>
      </w:r>
      <w:proofErr w:type="spellEnd"/>
      <w:r w:rsidRPr="009A0BB9">
        <w:rPr>
          <w:rFonts w:ascii="Times New Roman" w:hAnsi="Times New Roman" w:cs="Times New Roman"/>
          <w:color w:val="000000"/>
          <w:sz w:val="24"/>
        </w:rPr>
        <w:t xml:space="preserve"> de religion</w:t>
      </w:r>
      <w:r w:rsidRPr="009A0BB9">
        <w:rPr>
          <w:rFonts w:ascii="Times New Roman" w:hAnsi="Times New Roman" w:cs="Times New Roman"/>
          <w:color w:val="000000"/>
          <w:sz w:val="24"/>
        </w:rPr>
        <w:t xml:space="preserve"> / </w:t>
      </w:r>
      <w:proofErr w:type="spellStart"/>
      <w:r w:rsidRPr="009A0BB9">
        <w:rPr>
          <w:rFonts w:ascii="Times New Roman" w:hAnsi="Times New Roman" w:cs="Times New Roman"/>
          <w:color w:val="000000"/>
          <w:sz w:val="24"/>
        </w:rPr>
        <w:t>croyance</w:t>
      </w:r>
      <w:proofErr w:type="spellEnd"/>
      <w:r w:rsidRPr="009A0BB9">
        <w:rPr>
          <w:rFonts w:ascii="Times New Roman" w:hAnsi="Times New Roman" w:cs="Times New Roman"/>
          <w:color w:val="000000"/>
          <w:sz w:val="24"/>
        </w:rPr>
        <w:t xml:space="preserve"> (KBB) en </w:t>
      </w:r>
      <w:proofErr w:type="spellStart"/>
      <w:r w:rsidRPr="009A0BB9">
        <w:rPr>
          <w:rFonts w:ascii="Times New Roman" w:hAnsi="Times New Roman" w:cs="Times New Roman"/>
          <w:color w:val="000000"/>
          <w:sz w:val="24"/>
        </w:rPr>
        <w:t>Indonésie</w:t>
      </w:r>
      <w:proofErr w:type="spellEnd"/>
      <w:r w:rsidRPr="009A0BB9">
        <w:rPr>
          <w:rFonts w:ascii="Times New Roman" w:hAnsi="Times New Roman" w:cs="Times New Roman"/>
          <w:color w:val="000000"/>
          <w:sz w:val="24"/>
        </w:rPr>
        <w:t xml:space="preserve">. </w:t>
      </w:r>
      <w:proofErr w:type="gramStart"/>
      <w:r w:rsidRPr="009A0BB9">
        <w:rPr>
          <w:rFonts w:ascii="Times New Roman" w:hAnsi="Times New Roman" w:cs="Times New Roman"/>
          <w:color w:val="000000"/>
          <w:sz w:val="24"/>
        </w:rPr>
        <w:t xml:space="preserve">A </w:t>
      </w:r>
      <w:proofErr w:type="spellStart"/>
      <w:r w:rsidRPr="009A0BB9">
        <w:rPr>
          <w:rFonts w:ascii="Times New Roman" w:hAnsi="Times New Roman" w:cs="Times New Roman"/>
          <w:color w:val="000000"/>
          <w:sz w:val="24"/>
        </w:rPr>
        <w:t>Partir</w:t>
      </w:r>
      <w:proofErr w:type="spellEnd"/>
      <w:r w:rsidRPr="009A0BB9">
        <w:rPr>
          <w:rFonts w:ascii="Times New Roman" w:hAnsi="Times New Roman" w:cs="Times New Roman"/>
          <w:color w:val="000000"/>
          <w:sz w:val="24"/>
        </w:rPr>
        <w:t xml:space="preserve"> de </w:t>
      </w:r>
      <w:proofErr w:type="spellStart"/>
      <w:r w:rsidRPr="009A0BB9">
        <w:rPr>
          <w:rFonts w:ascii="Times New Roman" w:hAnsi="Times New Roman" w:cs="Times New Roman"/>
          <w:color w:val="000000"/>
          <w:sz w:val="24"/>
        </w:rPr>
        <w:t>cette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année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l'Institut</w:t>
      </w:r>
      <w:proofErr w:type="spellEnd"/>
      <w:r w:rsidRPr="009A0BB9">
        <w:rPr>
          <w:rFonts w:ascii="Times New Roman" w:hAnsi="Times New Roman" w:cs="Times New Roman"/>
          <w:color w:val="000000"/>
          <w:sz w:val="24"/>
        </w:rPr>
        <w:t xml:space="preserve"> SETARA </w:t>
      </w:r>
      <w:proofErr w:type="spellStart"/>
      <w:r w:rsidRPr="009A0BB9">
        <w:rPr>
          <w:rFonts w:ascii="Times New Roman" w:hAnsi="Times New Roman" w:cs="Times New Roman"/>
          <w:color w:val="000000"/>
          <w:sz w:val="24"/>
        </w:rPr>
        <w:t>accorde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une</w:t>
      </w:r>
      <w:proofErr w:type="spellEnd"/>
      <w:r>
        <w:rPr>
          <w:rFonts w:ascii="Times New Roman" w:hAnsi="Times New Roman" w:cs="Times New Roman"/>
          <w:color w:val="000000"/>
          <w:sz w:val="24"/>
        </w:rPr>
        <w:t xml:space="preserve"> attention </w:t>
      </w:r>
      <w:proofErr w:type="spellStart"/>
      <w:r>
        <w:rPr>
          <w:rFonts w:ascii="Times New Roman" w:hAnsi="Times New Roman" w:cs="Times New Roman"/>
          <w:color w:val="000000"/>
          <w:sz w:val="24"/>
        </w:rPr>
        <w:t>particulière</w:t>
      </w:r>
      <w:proofErr w:type="spellEnd"/>
      <w:r>
        <w:rPr>
          <w:rFonts w:ascii="Times New Roman" w:hAnsi="Times New Roman" w:cs="Times New Roman"/>
          <w:color w:val="000000"/>
          <w:sz w:val="24"/>
        </w:rPr>
        <w:t xml:space="preserve"> aux </w:t>
      </w:r>
      <w:proofErr w:type="spellStart"/>
      <w:r>
        <w:rPr>
          <w:rFonts w:ascii="Times New Roman" w:hAnsi="Times New Roman" w:cs="Times New Roman"/>
          <w:color w:val="000000"/>
          <w:sz w:val="24"/>
        </w:rPr>
        <w:t>minorités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religieuses</w:t>
      </w:r>
      <w:proofErr w:type="spellEnd"/>
      <w:r>
        <w:rPr>
          <w:rFonts w:ascii="Times New Roman" w:hAnsi="Times New Roman" w:cs="Times New Roman"/>
          <w:color w:val="000000"/>
          <w:sz w:val="24"/>
        </w:rPr>
        <w:t xml:space="preserve">, en </w:t>
      </w:r>
      <w:r w:rsidRPr="009A0BB9">
        <w:rPr>
          <w:rFonts w:ascii="Times New Roman" w:hAnsi="Times New Roman" w:cs="Times New Roman"/>
          <w:color w:val="000000"/>
          <w:sz w:val="24"/>
        </w:rPr>
        <w:t xml:space="preserve">plus de KBB au </w:t>
      </w:r>
      <w:proofErr w:type="spellStart"/>
      <w:r w:rsidRPr="009A0BB9">
        <w:rPr>
          <w:rFonts w:ascii="Times New Roman" w:hAnsi="Times New Roman" w:cs="Times New Roman"/>
          <w:color w:val="000000"/>
          <w:sz w:val="24"/>
        </w:rPr>
        <w:t>niveau</w:t>
      </w:r>
      <w:proofErr w:type="spellEnd"/>
      <w:r w:rsidRPr="009A0BB9">
        <w:rPr>
          <w:rFonts w:ascii="Times New Roman" w:hAnsi="Times New Roman" w:cs="Times New Roman"/>
          <w:color w:val="000000"/>
          <w:sz w:val="24"/>
        </w:rPr>
        <w:t xml:space="preserve"> mac</w:t>
      </w:r>
      <w:r>
        <w:rPr>
          <w:rFonts w:ascii="Times New Roman" w:hAnsi="Times New Roman" w:cs="Times New Roman"/>
          <w:color w:val="000000"/>
          <w:sz w:val="24"/>
        </w:rPr>
        <w:t>ro.</w:t>
      </w:r>
      <w:proofErr w:type="gram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Ce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fut</w:t>
      </w:r>
      <w:proofErr w:type="spellEnd"/>
      <w:r>
        <w:rPr>
          <w:rFonts w:ascii="Times New Roman" w:hAnsi="Times New Roman" w:cs="Times New Roman"/>
          <w:color w:val="000000"/>
          <w:sz w:val="24"/>
        </w:rPr>
        <w:t xml:space="preserve"> à </w:t>
      </w:r>
      <w:proofErr w:type="spellStart"/>
      <w:r>
        <w:rPr>
          <w:rFonts w:ascii="Times New Roman" w:hAnsi="Times New Roman" w:cs="Times New Roman"/>
          <w:color w:val="000000"/>
          <w:sz w:val="24"/>
        </w:rPr>
        <w:t>l’aide</w:t>
      </w:r>
      <w:proofErr w:type="spellEnd"/>
      <w:r>
        <w:rPr>
          <w:rFonts w:ascii="Times New Roman" w:hAnsi="Times New Roman" w:cs="Times New Roman"/>
          <w:color w:val="000000"/>
          <w:sz w:val="24"/>
        </w:rPr>
        <w:t xml:space="preserve"> de </w:t>
      </w:r>
      <w:proofErr w:type="spellStart"/>
      <w:r>
        <w:rPr>
          <w:rFonts w:ascii="Times New Roman" w:hAnsi="Times New Roman" w:cs="Times New Roman"/>
          <w:color w:val="000000"/>
          <w:sz w:val="24"/>
        </w:rPr>
        <w:t>quelques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facteurs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suivants</w:t>
      </w:r>
      <w:proofErr w:type="spellEnd"/>
      <w:r w:rsidRPr="009A0BB9">
        <w:rPr>
          <w:rFonts w:ascii="Times New Roman" w:hAnsi="Times New Roman" w:cs="Times New Roman"/>
          <w:color w:val="000000"/>
          <w:sz w:val="24"/>
        </w:rPr>
        <w:t>:</w:t>
      </w:r>
      <w:r w:rsidRPr="009A0BB9">
        <w:rPr>
          <w:rFonts w:ascii="Times New Roman" w:hAnsi="Times New Roman" w:cs="Times New Roman"/>
          <w:color w:val="000000"/>
          <w:sz w:val="24"/>
        </w:rPr>
        <w:br/>
      </w:r>
    </w:p>
    <w:p w:rsidR="009A0BB9" w:rsidRPr="009A0BB9" w:rsidRDefault="009A0BB9" w:rsidP="009A0BB9">
      <w:pPr>
        <w:pStyle w:val="ListParagraph"/>
        <w:spacing w:line="480" w:lineRule="auto"/>
        <w:jc w:val="both"/>
        <w:rPr>
          <w:rFonts w:ascii="Times New Roman" w:hAnsi="Times New Roman" w:cs="Times New Roman"/>
          <w:color w:val="000000"/>
          <w:sz w:val="24"/>
        </w:rPr>
      </w:pPr>
      <w:proofErr w:type="spellStart"/>
      <w:r w:rsidRPr="009A0BB9">
        <w:rPr>
          <w:rFonts w:ascii="Times New Roman" w:hAnsi="Times New Roman" w:cs="Times New Roman"/>
          <w:color w:val="000000"/>
          <w:sz w:val="24"/>
        </w:rPr>
        <w:t>Premièrement</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sur</w:t>
      </w:r>
      <w:proofErr w:type="spellEnd"/>
      <w:r w:rsidRPr="009A0BB9">
        <w:rPr>
          <w:rFonts w:ascii="Times New Roman" w:hAnsi="Times New Roman" w:cs="Times New Roman"/>
          <w:color w:val="000000"/>
          <w:sz w:val="24"/>
        </w:rPr>
        <w:t xml:space="preserve"> le plan </w:t>
      </w:r>
      <w:proofErr w:type="spellStart"/>
      <w:r w:rsidRPr="009A0BB9">
        <w:rPr>
          <w:rFonts w:ascii="Times New Roman" w:hAnsi="Times New Roman" w:cs="Times New Roman"/>
          <w:color w:val="000000"/>
          <w:sz w:val="24"/>
        </w:rPr>
        <w:t>conceptuel</w:t>
      </w:r>
      <w:proofErr w:type="spellEnd"/>
      <w:r w:rsidRPr="009A0BB9">
        <w:rPr>
          <w:rFonts w:ascii="Times New Roman" w:hAnsi="Times New Roman" w:cs="Times New Roman"/>
          <w:color w:val="000000"/>
          <w:sz w:val="24"/>
        </w:rPr>
        <w:t xml:space="preserve">, la </w:t>
      </w:r>
      <w:proofErr w:type="spellStart"/>
      <w:r w:rsidRPr="009A0BB9">
        <w:rPr>
          <w:rFonts w:ascii="Times New Roman" w:hAnsi="Times New Roman" w:cs="Times New Roman"/>
          <w:color w:val="000000"/>
          <w:sz w:val="24"/>
        </w:rPr>
        <w:t>démocratie</w:t>
      </w:r>
      <w:proofErr w:type="spellEnd"/>
      <w:r w:rsidRPr="009A0BB9">
        <w:rPr>
          <w:rFonts w:ascii="Times New Roman" w:hAnsi="Times New Roman" w:cs="Times New Roman"/>
          <w:color w:val="000000"/>
          <w:sz w:val="24"/>
        </w:rPr>
        <w:t xml:space="preserve"> </w:t>
      </w:r>
      <w:proofErr w:type="spellStart"/>
      <w:proofErr w:type="gramStart"/>
      <w:r w:rsidRPr="009A0BB9">
        <w:rPr>
          <w:rFonts w:ascii="Times New Roman" w:hAnsi="Times New Roman" w:cs="Times New Roman"/>
          <w:color w:val="000000"/>
          <w:sz w:val="24"/>
        </w:rPr>
        <w:t>est</w:t>
      </w:r>
      <w:proofErr w:type="spellEnd"/>
      <w:proofErr w:type="gramEnd"/>
      <w:r w:rsidRPr="009A0BB9">
        <w:rPr>
          <w:rFonts w:ascii="Times New Roman" w:hAnsi="Times New Roman" w:cs="Times New Roman"/>
          <w:color w:val="000000"/>
          <w:sz w:val="24"/>
        </w:rPr>
        <w:t xml:space="preserve"> un </w:t>
      </w:r>
      <w:proofErr w:type="spellStart"/>
      <w:r w:rsidRPr="009A0BB9">
        <w:rPr>
          <w:rFonts w:ascii="Times New Roman" w:hAnsi="Times New Roman" w:cs="Times New Roman"/>
          <w:color w:val="000000"/>
          <w:sz w:val="24"/>
        </w:rPr>
        <w:t>système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d'au</w:t>
      </w:r>
      <w:r w:rsidRPr="009A0BB9">
        <w:rPr>
          <w:rFonts w:ascii="Times New Roman" w:hAnsi="Times New Roman" w:cs="Times New Roman"/>
          <w:color w:val="000000"/>
          <w:sz w:val="24"/>
        </w:rPr>
        <w:t>torité</w:t>
      </w:r>
      <w:proofErr w:type="spellEnd"/>
      <w:r w:rsidRPr="009A0BB9">
        <w:rPr>
          <w:rFonts w:ascii="Times New Roman" w:hAnsi="Times New Roman" w:cs="Times New Roman"/>
          <w:color w:val="000000"/>
          <w:sz w:val="24"/>
        </w:rPr>
        <w:t xml:space="preserve"> de </w:t>
      </w:r>
      <w:proofErr w:type="spellStart"/>
      <w:r w:rsidRPr="009A0BB9">
        <w:rPr>
          <w:rFonts w:ascii="Times New Roman" w:hAnsi="Times New Roman" w:cs="Times New Roman"/>
          <w:color w:val="000000"/>
          <w:sz w:val="24"/>
        </w:rPr>
        <w:t>gouvernance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géré</w:t>
      </w:r>
      <w:proofErr w:type="spellEnd"/>
      <w:r w:rsidRPr="009A0BB9">
        <w:rPr>
          <w:rFonts w:ascii="Times New Roman" w:hAnsi="Times New Roman" w:cs="Times New Roman"/>
          <w:color w:val="000000"/>
          <w:sz w:val="24"/>
        </w:rPr>
        <w:t xml:space="preserve"> par </w:t>
      </w:r>
      <w:r w:rsidRPr="009A0BB9">
        <w:rPr>
          <w:rFonts w:ascii="Times New Roman" w:hAnsi="Times New Roman" w:cs="Times New Roman"/>
          <w:color w:val="000000"/>
          <w:sz w:val="24"/>
        </w:rPr>
        <w:t xml:space="preserve">le </w:t>
      </w:r>
      <w:proofErr w:type="spellStart"/>
      <w:r w:rsidRPr="009A0BB9">
        <w:rPr>
          <w:rFonts w:ascii="Times New Roman" w:hAnsi="Times New Roman" w:cs="Times New Roman"/>
          <w:color w:val="000000"/>
          <w:sz w:val="24"/>
        </w:rPr>
        <w:t>gouvernement</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suivant</w:t>
      </w:r>
      <w:proofErr w:type="spellEnd"/>
      <w:r w:rsidRPr="009A0BB9">
        <w:rPr>
          <w:rFonts w:ascii="Times New Roman" w:hAnsi="Times New Roman" w:cs="Times New Roman"/>
          <w:color w:val="000000"/>
          <w:sz w:val="24"/>
        </w:rPr>
        <w:t xml:space="preserve"> par la (</w:t>
      </w:r>
      <w:proofErr w:type="spellStart"/>
      <w:r w:rsidRPr="009A0BB9">
        <w:rPr>
          <w:rFonts w:ascii="Times New Roman" w:hAnsi="Times New Roman" w:cs="Times New Roman"/>
          <w:color w:val="000000"/>
          <w:sz w:val="24"/>
        </w:rPr>
        <w:t>règle</w:t>
      </w:r>
      <w:proofErr w:type="spellEnd"/>
      <w:r w:rsidRPr="009A0BB9">
        <w:rPr>
          <w:rFonts w:ascii="Times New Roman" w:hAnsi="Times New Roman" w:cs="Times New Roman"/>
          <w:color w:val="000000"/>
          <w:sz w:val="24"/>
        </w:rPr>
        <w:t xml:space="preserve"> de la </w:t>
      </w:r>
      <w:proofErr w:type="spellStart"/>
      <w:r w:rsidRPr="009A0BB9">
        <w:rPr>
          <w:rFonts w:ascii="Times New Roman" w:hAnsi="Times New Roman" w:cs="Times New Roman"/>
          <w:color w:val="000000"/>
          <w:sz w:val="24"/>
        </w:rPr>
        <w:t>majorité</w:t>
      </w:r>
      <w:proofErr w:type="spellEnd"/>
      <w:r w:rsidRPr="009A0BB9">
        <w:rPr>
          <w:rFonts w:ascii="Times New Roman" w:hAnsi="Times New Roman" w:cs="Times New Roman"/>
          <w:color w:val="000000"/>
          <w:sz w:val="24"/>
        </w:rPr>
        <w:t>) pour assurer la prot</w:t>
      </w:r>
      <w:r w:rsidRPr="009A0BB9">
        <w:rPr>
          <w:rFonts w:ascii="Times New Roman" w:hAnsi="Times New Roman" w:cs="Times New Roman"/>
          <w:color w:val="000000"/>
          <w:sz w:val="24"/>
        </w:rPr>
        <w:t xml:space="preserve">ection des </w:t>
      </w:r>
      <w:proofErr w:type="spellStart"/>
      <w:r w:rsidRPr="009A0BB9">
        <w:rPr>
          <w:rFonts w:ascii="Times New Roman" w:hAnsi="Times New Roman" w:cs="Times New Roman"/>
          <w:color w:val="000000"/>
          <w:sz w:val="24"/>
        </w:rPr>
        <w:t>droits</w:t>
      </w:r>
      <w:proofErr w:type="spellEnd"/>
      <w:r w:rsidRPr="009A0BB9">
        <w:rPr>
          <w:rFonts w:ascii="Times New Roman" w:hAnsi="Times New Roman" w:cs="Times New Roman"/>
          <w:color w:val="000000"/>
          <w:sz w:val="24"/>
        </w:rPr>
        <w:t xml:space="preserve"> des minorities </w:t>
      </w:r>
      <w:r w:rsidRPr="009A0BB9">
        <w:rPr>
          <w:rFonts w:ascii="Times New Roman" w:hAnsi="Times New Roman" w:cs="Times New Roman"/>
          <w:color w:val="000000"/>
          <w:sz w:val="24"/>
        </w:rPr>
        <w:t>(</w:t>
      </w:r>
      <w:proofErr w:type="spellStart"/>
      <w:r w:rsidRPr="009A0BB9">
        <w:rPr>
          <w:rFonts w:ascii="Times New Roman" w:hAnsi="Times New Roman" w:cs="Times New Roman"/>
          <w:color w:val="000000"/>
          <w:sz w:val="24"/>
        </w:rPr>
        <w:t>droits</w:t>
      </w:r>
      <w:proofErr w:type="spellEnd"/>
      <w:r w:rsidRPr="009A0BB9">
        <w:rPr>
          <w:rFonts w:ascii="Times New Roman" w:hAnsi="Times New Roman" w:cs="Times New Roman"/>
          <w:color w:val="000000"/>
          <w:sz w:val="24"/>
        </w:rPr>
        <w:t xml:space="preserve"> des </w:t>
      </w:r>
      <w:proofErr w:type="spellStart"/>
      <w:r w:rsidRPr="009A0BB9">
        <w:rPr>
          <w:rFonts w:ascii="Times New Roman" w:hAnsi="Times New Roman" w:cs="Times New Roman"/>
          <w:color w:val="000000"/>
          <w:sz w:val="24"/>
        </w:rPr>
        <w:t>minorités</w:t>
      </w:r>
      <w:proofErr w:type="spellEnd"/>
      <w:r w:rsidRPr="009A0BB9">
        <w:rPr>
          <w:rFonts w:ascii="Times New Roman" w:hAnsi="Times New Roman" w:cs="Times New Roman"/>
          <w:color w:val="000000"/>
          <w:sz w:val="24"/>
        </w:rPr>
        <w:t xml:space="preserve">). </w:t>
      </w:r>
      <w:proofErr w:type="gramStart"/>
      <w:r w:rsidRPr="009A0BB9">
        <w:rPr>
          <w:rFonts w:ascii="Times New Roman" w:hAnsi="Times New Roman" w:cs="Times New Roman"/>
          <w:color w:val="000000"/>
          <w:sz w:val="24"/>
        </w:rPr>
        <w:t xml:space="preserve">Le </w:t>
      </w:r>
      <w:proofErr w:type="spellStart"/>
      <w:r w:rsidRPr="009A0BB9">
        <w:rPr>
          <w:rFonts w:ascii="Times New Roman" w:hAnsi="Times New Roman" w:cs="Times New Roman"/>
          <w:color w:val="000000"/>
          <w:sz w:val="24"/>
        </w:rPr>
        <w:t>droit</w:t>
      </w:r>
      <w:proofErr w:type="spellEnd"/>
      <w:r w:rsidRPr="009A0BB9">
        <w:rPr>
          <w:rFonts w:ascii="Times New Roman" w:hAnsi="Times New Roman" w:cs="Times New Roman"/>
          <w:color w:val="000000"/>
          <w:sz w:val="24"/>
        </w:rPr>
        <w:t xml:space="preserve"> de </w:t>
      </w:r>
      <w:proofErr w:type="spellStart"/>
      <w:r w:rsidRPr="009A0BB9">
        <w:rPr>
          <w:rFonts w:ascii="Times New Roman" w:hAnsi="Times New Roman" w:cs="Times New Roman"/>
          <w:color w:val="000000"/>
          <w:sz w:val="24"/>
        </w:rPr>
        <w:t>l'Homme</w:t>
      </w:r>
      <w:proofErr w:type="spellEnd"/>
      <w:r w:rsidRPr="009A0BB9">
        <w:rPr>
          <w:rFonts w:ascii="Times New Roman" w:hAnsi="Times New Roman" w:cs="Times New Roman"/>
          <w:color w:val="000000"/>
          <w:sz w:val="24"/>
        </w:rPr>
        <w:t xml:space="preserve"> (HAM), y </w:t>
      </w:r>
      <w:proofErr w:type="spellStart"/>
      <w:r w:rsidRPr="009A0BB9">
        <w:rPr>
          <w:rFonts w:ascii="Times New Roman" w:hAnsi="Times New Roman" w:cs="Times New Roman"/>
          <w:color w:val="000000"/>
          <w:sz w:val="24"/>
        </w:rPr>
        <w:t>compris</w:t>
      </w:r>
      <w:proofErr w:type="spellEnd"/>
      <w:r w:rsidRPr="009A0BB9">
        <w:rPr>
          <w:rFonts w:ascii="Times New Roman" w:hAnsi="Times New Roman" w:cs="Times New Roman"/>
          <w:color w:val="000000"/>
          <w:sz w:val="24"/>
        </w:rPr>
        <w:t xml:space="preserve"> les </w:t>
      </w:r>
      <w:proofErr w:type="spellStart"/>
      <w:r w:rsidRPr="009A0BB9">
        <w:rPr>
          <w:rFonts w:ascii="Times New Roman" w:hAnsi="Times New Roman" w:cs="Times New Roman"/>
          <w:color w:val="000000"/>
          <w:sz w:val="24"/>
        </w:rPr>
        <w:t>droits</w:t>
      </w:r>
      <w:proofErr w:type="spellEnd"/>
      <w:r w:rsidRPr="009A0BB9">
        <w:rPr>
          <w:rFonts w:ascii="Times New Roman" w:hAnsi="Times New Roman" w:cs="Times New Roman"/>
          <w:color w:val="000000"/>
          <w:sz w:val="24"/>
        </w:rPr>
        <w:t xml:space="preserve"> d</w:t>
      </w:r>
      <w:r w:rsidRPr="009A0BB9">
        <w:rPr>
          <w:rFonts w:ascii="Times New Roman" w:hAnsi="Times New Roman" w:cs="Times New Roman"/>
          <w:color w:val="000000"/>
          <w:sz w:val="24"/>
        </w:rPr>
        <w:t xml:space="preserve">es </w:t>
      </w:r>
      <w:proofErr w:type="spellStart"/>
      <w:r w:rsidRPr="009A0BB9">
        <w:rPr>
          <w:rFonts w:ascii="Times New Roman" w:hAnsi="Times New Roman" w:cs="Times New Roman"/>
          <w:color w:val="000000"/>
          <w:sz w:val="24"/>
        </w:rPr>
        <w:t>minorités</w:t>
      </w:r>
      <w:proofErr w:type="spellEnd"/>
      <w:r w:rsidRPr="009A0BB9">
        <w:rPr>
          <w:rFonts w:ascii="Times New Roman" w:hAnsi="Times New Roman" w:cs="Times New Roman"/>
          <w:color w:val="000000"/>
          <w:sz w:val="24"/>
        </w:rPr>
        <w:t xml:space="preserve">, font </w:t>
      </w:r>
      <w:proofErr w:type="spellStart"/>
      <w:r w:rsidRPr="009A0BB9">
        <w:rPr>
          <w:rFonts w:ascii="Times New Roman" w:hAnsi="Times New Roman" w:cs="Times New Roman"/>
          <w:color w:val="000000"/>
          <w:sz w:val="24"/>
        </w:rPr>
        <w:t>partie</w:t>
      </w:r>
      <w:proofErr w:type="spellEnd"/>
      <w:r w:rsidRPr="009A0BB9">
        <w:rPr>
          <w:rFonts w:ascii="Times New Roman" w:hAnsi="Times New Roman" w:cs="Times New Roman"/>
          <w:color w:val="000000"/>
          <w:sz w:val="24"/>
        </w:rPr>
        <w:t xml:space="preserve"> de la </w:t>
      </w:r>
      <w:proofErr w:type="spellStart"/>
      <w:r w:rsidRPr="009A0BB9">
        <w:rPr>
          <w:rFonts w:ascii="Times New Roman" w:hAnsi="Times New Roman" w:cs="Times New Roman"/>
          <w:color w:val="000000"/>
          <w:sz w:val="24"/>
        </w:rPr>
        <w:t>démocratie</w:t>
      </w:r>
      <w:proofErr w:type="spellEnd"/>
      <w:r w:rsidRPr="009A0BB9">
        <w:rPr>
          <w:rFonts w:ascii="Times New Roman" w:hAnsi="Times New Roman" w:cs="Times New Roman"/>
          <w:color w:val="000000"/>
          <w:sz w:val="24"/>
        </w:rPr>
        <w:t>.</w:t>
      </w:r>
      <w:proofErr w:type="gram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Ainsi</w:t>
      </w:r>
      <w:proofErr w:type="spellEnd"/>
      <w:r w:rsidRPr="009A0BB9">
        <w:rPr>
          <w:rFonts w:ascii="Times New Roman" w:hAnsi="Times New Roman" w:cs="Times New Roman"/>
          <w:color w:val="000000"/>
          <w:sz w:val="24"/>
        </w:rPr>
        <w:t xml:space="preserve">, en </w:t>
      </w:r>
      <w:proofErr w:type="spellStart"/>
      <w:r w:rsidRPr="009A0BB9">
        <w:rPr>
          <w:rFonts w:ascii="Times New Roman" w:hAnsi="Times New Roman" w:cs="Times New Roman"/>
          <w:color w:val="000000"/>
          <w:sz w:val="24"/>
        </w:rPr>
        <w:t>tant</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que</w:t>
      </w:r>
      <w:proofErr w:type="spellEnd"/>
      <w:r w:rsidRPr="009A0BB9">
        <w:rPr>
          <w:rFonts w:ascii="Times New Roman" w:hAnsi="Times New Roman" w:cs="Times New Roman"/>
          <w:color w:val="000000"/>
          <w:sz w:val="24"/>
        </w:rPr>
        <w:t xml:space="preserve"> pays </w:t>
      </w:r>
      <w:proofErr w:type="spellStart"/>
      <w:r w:rsidRPr="009A0BB9">
        <w:rPr>
          <w:rFonts w:ascii="Times New Roman" w:hAnsi="Times New Roman" w:cs="Times New Roman"/>
          <w:color w:val="000000"/>
          <w:sz w:val="24"/>
        </w:rPr>
        <w:t>dé</w:t>
      </w:r>
      <w:r w:rsidRPr="009A0BB9">
        <w:rPr>
          <w:rFonts w:ascii="Times New Roman" w:hAnsi="Times New Roman" w:cs="Times New Roman"/>
          <w:color w:val="000000"/>
          <w:sz w:val="24"/>
        </w:rPr>
        <w:t>mocratique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l'Indonésie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devrait</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app</w:t>
      </w:r>
      <w:r w:rsidRPr="009A0BB9">
        <w:rPr>
          <w:rFonts w:ascii="Times New Roman" w:hAnsi="Times New Roman" w:cs="Times New Roman"/>
          <w:color w:val="000000"/>
          <w:sz w:val="24"/>
        </w:rPr>
        <w:t>liquer</w:t>
      </w:r>
      <w:proofErr w:type="spellEnd"/>
      <w:r w:rsidRPr="009A0BB9">
        <w:rPr>
          <w:rFonts w:ascii="Times New Roman" w:hAnsi="Times New Roman" w:cs="Times New Roman"/>
          <w:color w:val="000000"/>
          <w:sz w:val="24"/>
        </w:rPr>
        <w:t xml:space="preserve"> les </w:t>
      </w:r>
      <w:proofErr w:type="spellStart"/>
      <w:r w:rsidRPr="009A0BB9">
        <w:rPr>
          <w:rFonts w:ascii="Times New Roman" w:hAnsi="Times New Roman" w:cs="Times New Roman"/>
          <w:color w:val="000000"/>
          <w:sz w:val="24"/>
        </w:rPr>
        <w:t>droits</w:t>
      </w:r>
      <w:proofErr w:type="spellEnd"/>
      <w:r w:rsidRPr="009A0BB9">
        <w:rPr>
          <w:rFonts w:ascii="Times New Roman" w:hAnsi="Times New Roman" w:cs="Times New Roman"/>
          <w:color w:val="000000"/>
          <w:sz w:val="24"/>
        </w:rPr>
        <w:t xml:space="preserve"> des </w:t>
      </w:r>
      <w:proofErr w:type="gramStart"/>
      <w:r w:rsidRPr="009A0BB9">
        <w:rPr>
          <w:rFonts w:ascii="Times New Roman" w:hAnsi="Times New Roman" w:cs="Times New Roman"/>
          <w:color w:val="000000"/>
          <w:sz w:val="24"/>
        </w:rPr>
        <w:t>minorities</w:t>
      </w:r>
      <w:proofErr w:type="gramEnd"/>
      <w:r w:rsidRPr="009A0BB9">
        <w:rPr>
          <w:rFonts w:ascii="Times New Roman" w:hAnsi="Times New Roman" w:cs="Times New Roman"/>
          <w:color w:val="000000"/>
          <w:sz w:val="24"/>
        </w:rPr>
        <w:t xml:space="preserve"> </w:t>
      </w:r>
      <w:r w:rsidRPr="009A0BB9">
        <w:rPr>
          <w:rFonts w:ascii="Times New Roman" w:hAnsi="Times New Roman" w:cs="Times New Roman"/>
          <w:color w:val="000000"/>
          <w:sz w:val="24"/>
        </w:rPr>
        <w:t xml:space="preserve">en </w:t>
      </w:r>
      <w:proofErr w:type="spellStart"/>
      <w:r w:rsidRPr="009A0BB9">
        <w:rPr>
          <w:rFonts w:ascii="Times New Roman" w:hAnsi="Times New Roman" w:cs="Times New Roman"/>
          <w:color w:val="000000"/>
          <w:sz w:val="24"/>
        </w:rPr>
        <w:t>tant</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que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partie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intégrante</w:t>
      </w:r>
      <w:proofErr w:type="spellEnd"/>
      <w:r w:rsidRPr="009A0BB9">
        <w:rPr>
          <w:rFonts w:ascii="Times New Roman" w:hAnsi="Times New Roman" w:cs="Times New Roman"/>
          <w:color w:val="000000"/>
          <w:sz w:val="24"/>
        </w:rPr>
        <w:t xml:space="preserve"> du </w:t>
      </w:r>
      <w:proofErr w:type="spellStart"/>
      <w:r w:rsidRPr="009A0BB9">
        <w:rPr>
          <w:rFonts w:ascii="Times New Roman" w:hAnsi="Times New Roman" w:cs="Times New Roman"/>
          <w:color w:val="000000"/>
          <w:sz w:val="24"/>
        </w:rPr>
        <w:t>système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politique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juridique</w:t>
      </w:r>
      <w:proofErr w:type="spellEnd"/>
      <w:r w:rsidRPr="009A0BB9">
        <w:rPr>
          <w:rFonts w:ascii="Times New Roman" w:hAnsi="Times New Roman" w:cs="Times New Roman"/>
          <w:color w:val="000000"/>
          <w:sz w:val="24"/>
        </w:rPr>
        <w:t xml:space="preserve"> et </w:t>
      </w:r>
      <w:proofErr w:type="spellStart"/>
      <w:r w:rsidRPr="009A0BB9">
        <w:rPr>
          <w:rFonts w:ascii="Times New Roman" w:hAnsi="Times New Roman" w:cs="Times New Roman"/>
          <w:color w:val="000000"/>
          <w:sz w:val="24"/>
        </w:rPr>
        <w:t>sociale</w:t>
      </w:r>
      <w:proofErr w:type="spellEnd"/>
      <w:r w:rsidRPr="009A0BB9">
        <w:rPr>
          <w:rFonts w:ascii="Times New Roman" w:hAnsi="Times New Roman" w:cs="Times New Roman"/>
          <w:color w:val="000000"/>
          <w:sz w:val="24"/>
        </w:rPr>
        <w:t>.</w:t>
      </w:r>
      <w:r w:rsidRPr="009A0BB9">
        <w:rPr>
          <w:rFonts w:ascii="Times New Roman" w:hAnsi="Times New Roman" w:cs="Times New Roman"/>
          <w:color w:val="000000"/>
          <w:sz w:val="24"/>
        </w:rPr>
        <w:br/>
      </w:r>
    </w:p>
    <w:p w:rsidR="009A0BB9" w:rsidRDefault="009A0BB9" w:rsidP="0072700D">
      <w:pPr>
        <w:pStyle w:val="ListParagraph"/>
        <w:spacing w:line="480" w:lineRule="auto"/>
        <w:jc w:val="both"/>
        <w:rPr>
          <w:rFonts w:ascii="Times New Roman" w:hAnsi="Times New Roman" w:cs="Times New Roman"/>
          <w:color w:val="000000"/>
          <w:sz w:val="24"/>
        </w:rPr>
      </w:pPr>
      <w:proofErr w:type="spellStart"/>
      <w:r w:rsidRPr="009A0BB9">
        <w:rPr>
          <w:rFonts w:ascii="Times New Roman" w:hAnsi="Times New Roman" w:cs="Times New Roman"/>
          <w:color w:val="000000"/>
          <w:sz w:val="24"/>
        </w:rPr>
        <w:t>Deuxièmes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L’idée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philosophique</w:t>
      </w:r>
      <w:proofErr w:type="spellEnd"/>
      <w:r w:rsidRPr="009A0BB9">
        <w:rPr>
          <w:rFonts w:ascii="Times New Roman" w:hAnsi="Times New Roman" w:cs="Times New Roman"/>
          <w:color w:val="000000"/>
          <w:sz w:val="24"/>
        </w:rPr>
        <w:t xml:space="preserve"> de </w:t>
      </w:r>
      <w:proofErr w:type="spellStart"/>
      <w:r w:rsidRPr="009A0BB9">
        <w:rPr>
          <w:rFonts w:ascii="Times New Roman" w:hAnsi="Times New Roman" w:cs="Times New Roman"/>
          <w:color w:val="000000"/>
          <w:sz w:val="24"/>
        </w:rPr>
        <w:t>l'Etat</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indonésien</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indépendant</w:t>
      </w:r>
      <w:proofErr w:type="spellEnd"/>
      <w:r w:rsidRPr="009A0BB9">
        <w:rPr>
          <w:rFonts w:ascii="Times New Roman" w:hAnsi="Times New Roman" w:cs="Times New Roman"/>
          <w:color w:val="000000"/>
          <w:sz w:val="24"/>
        </w:rPr>
        <w:t xml:space="preserve"> </w:t>
      </w:r>
      <w:proofErr w:type="spellStart"/>
      <w:proofErr w:type="gramStart"/>
      <w:r w:rsidRPr="009A0BB9">
        <w:rPr>
          <w:rFonts w:ascii="Times New Roman" w:hAnsi="Times New Roman" w:cs="Times New Roman"/>
          <w:color w:val="000000"/>
          <w:sz w:val="24"/>
        </w:rPr>
        <w:t>est</w:t>
      </w:r>
      <w:proofErr w:type="spellEnd"/>
      <w:proofErr w:type="gramEnd"/>
      <w:r w:rsidRPr="009A0BB9">
        <w:rPr>
          <w:rFonts w:ascii="Times New Roman" w:hAnsi="Times New Roman" w:cs="Times New Roman"/>
          <w:color w:val="000000"/>
          <w:sz w:val="24"/>
        </w:rPr>
        <w:t xml:space="preserve"> de suite: </w:t>
      </w:r>
      <w:proofErr w:type="spellStart"/>
      <w:r w:rsidRPr="009A0BB9">
        <w:rPr>
          <w:rFonts w:ascii="Times New Roman" w:hAnsi="Times New Roman" w:cs="Times New Roman"/>
          <w:color w:val="000000"/>
          <w:sz w:val="24"/>
        </w:rPr>
        <w:t>Tous</w:t>
      </w:r>
      <w:proofErr w:type="spellEnd"/>
      <w:r w:rsidRPr="009A0BB9">
        <w:rPr>
          <w:rFonts w:ascii="Times New Roman" w:hAnsi="Times New Roman" w:cs="Times New Roman"/>
          <w:color w:val="000000"/>
          <w:sz w:val="24"/>
        </w:rPr>
        <w:t xml:space="preserve"> pour un</w:t>
      </w:r>
      <w:r>
        <w:rPr>
          <w:rFonts w:ascii="Times New Roman" w:hAnsi="Times New Roman" w:cs="Times New Roman"/>
          <w:color w:val="000000"/>
          <w:sz w:val="24"/>
        </w:rPr>
        <w:t xml:space="preserve"> (Pour </w:t>
      </w:r>
      <w:proofErr w:type="spellStart"/>
      <w:r>
        <w:rPr>
          <w:rFonts w:ascii="Times New Roman" w:hAnsi="Times New Roman" w:cs="Times New Roman"/>
          <w:color w:val="000000"/>
          <w:sz w:val="24"/>
        </w:rPr>
        <w:t>l’</w:t>
      </w:r>
      <w:r w:rsidRPr="009A0BB9">
        <w:rPr>
          <w:rFonts w:ascii="Times New Roman" w:hAnsi="Times New Roman" w:cs="Times New Roman"/>
          <w:color w:val="000000"/>
          <w:sz w:val="24"/>
        </w:rPr>
        <w:t>Indonésie</w:t>
      </w:r>
      <w:proofErr w:type="spellEnd"/>
      <w:r w:rsidRPr="009A0BB9">
        <w:rPr>
          <w:rFonts w:ascii="Times New Roman" w:hAnsi="Times New Roman" w:cs="Times New Roman"/>
          <w:color w:val="000000"/>
          <w:sz w:val="24"/>
        </w:rPr>
        <w:t xml:space="preserve">) et un pour </w:t>
      </w:r>
      <w:proofErr w:type="spellStart"/>
      <w:r w:rsidRPr="009A0BB9">
        <w:rPr>
          <w:rFonts w:ascii="Times New Roman" w:hAnsi="Times New Roman" w:cs="Times New Roman"/>
          <w:color w:val="000000"/>
          <w:sz w:val="24"/>
        </w:rPr>
        <w:t>tous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Pancasila</w:t>
      </w:r>
      <w:proofErr w:type="spellEnd"/>
      <w:r w:rsidRPr="009A0BB9">
        <w:rPr>
          <w:rFonts w:ascii="Times New Roman" w:hAnsi="Times New Roman" w:cs="Times New Roman"/>
          <w:color w:val="000000"/>
          <w:sz w:val="24"/>
        </w:rPr>
        <w:t xml:space="preserve"> </w:t>
      </w:r>
      <w:proofErr w:type="gramStart"/>
      <w:r>
        <w:rPr>
          <w:rFonts w:ascii="Times New Roman" w:hAnsi="Times New Roman" w:cs="Times New Roman"/>
          <w:color w:val="000000"/>
          <w:sz w:val="24"/>
        </w:rPr>
        <w:t>et</w:t>
      </w:r>
      <w:proofErr w:type="gram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Bhinneka</w:t>
      </w:r>
      <w:proofErr w:type="spellEnd"/>
      <w:r>
        <w:rPr>
          <w:rFonts w:ascii="Times New Roman" w:hAnsi="Times New Roman" w:cs="Times New Roman"/>
          <w:color w:val="000000"/>
          <w:sz w:val="24"/>
        </w:rPr>
        <w:t xml:space="preserve"> Tunggal </w:t>
      </w:r>
      <w:proofErr w:type="spellStart"/>
      <w:r>
        <w:rPr>
          <w:rFonts w:ascii="Times New Roman" w:hAnsi="Times New Roman" w:cs="Times New Roman"/>
          <w:color w:val="000000"/>
          <w:sz w:val="24"/>
        </w:rPr>
        <w:t>Ika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ont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été</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expressément</w:t>
      </w:r>
      <w:proofErr w:type="spellEnd"/>
      <w:r>
        <w:rPr>
          <w:rFonts w:ascii="Times New Roman" w:hAnsi="Times New Roman" w:cs="Times New Roman"/>
          <w:color w:val="000000"/>
          <w:sz w:val="24"/>
        </w:rPr>
        <w:t xml:space="preserve"> imaginer en </w:t>
      </w:r>
      <w:proofErr w:type="spellStart"/>
      <w:r>
        <w:rPr>
          <w:rFonts w:ascii="Times New Roman" w:hAnsi="Times New Roman" w:cs="Times New Roman"/>
          <w:color w:val="000000"/>
          <w:sz w:val="24"/>
        </w:rPr>
        <w:t>tant</w:t>
      </w:r>
      <w:proofErr w:type="spellEnd"/>
      <w:r>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que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politique</w:t>
      </w:r>
      <w:proofErr w:type="spellEnd"/>
      <w:r w:rsidRPr="009A0BB9">
        <w:rPr>
          <w:rFonts w:ascii="Times New Roman" w:hAnsi="Times New Roman" w:cs="Times New Roman"/>
          <w:color w:val="000000"/>
          <w:sz w:val="24"/>
        </w:rPr>
        <w:t xml:space="preserve"> d'un pays qui </w:t>
      </w:r>
      <w:proofErr w:type="spellStart"/>
      <w:r w:rsidRPr="009A0BB9">
        <w:rPr>
          <w:rFonts w:ascii="Times New Roman" w:hAnsi="Times New Roman" w:cs="Times New Roman"/>
          <w:color w:val="000000"/>
          <w:sz w:val="24"/>
        </w:rPr>
        <w:t>est</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ouvert</w:t>
      </w:r>
      <w:proofErr w:type="spellEnd"/>
      <w:r w:rsidRPr="009A0BB9">
        <w:rPr>
          <w:rFonts w:ascii="Times New Roman" w:hAnsi="Times New Roman" w:cs="Times New Roman"/>
          <w:color w:val="000000"/>
          <w:sz w:val="24"/>
        </w:rPr>
        <w:t xml:space="preserve"> à </w:t>
      </w:r>
      <w:proofErr w:type="spellStart"/>
      <w:r w:rsidRPr="009A0BB9">
        <w:rPr>
          <w:rFonts w:ascii="Times New Roman" w:hAnsi="Times New Roman" w:cs="Times New Roman"/>
          <w:color w:val="000000"/>
          <w:sz w:val="24"/>
        </w:rPr>
        <w:t>tous</w:t>
      </w:r>
      <w:proofErr w:type="spellEnd"/>
      <w:r w:rsidRPr="009A0BB9">
        <w:rPr>
          <w:rFonts w:ascii="Times New Roman" w:hAnsi="Times New Roman" w:cs="Times New Roman"/>
          <w:color w:val="000000"/>
          <w:sz w:val="24"/>
        </w:rPr>
        <w:t xml:space="preserve"> les </w:t>
      </w:r>
      <w:proofErr w:type="spellStart"/>
      <w:r w:rsidRPr="009A0BB9">
        <w:rPr>
          <w:rFonts w:ascii="Times New Roman" w:hAnsi="Times New Roman" w:cs="Times New Roman"/>
          <w:color w:val="000000"/>
          <w:sz w:val="24"/>
        </w:rPr>
        <w:t>éléments</w:t>
      </w:r>
      <w:proofErr w:type="spellEnd"/>
      <w:r w:rsidRPr="009A0BB9">
        <w:rPr>
          <w:rFonts w:ascii="Times New Roman" w:hAnsi="Times New Roman" w:cs="Times New Roman"/>
          <w:color w:val="000000"/>
          <w:sz w:val="24"/>
        </w:rPr>
        <w:t xml:space="preserve"> formant </w:t>
      </w:r>
      <w:proofErr w:type="spellStart"/>
      <w:r w:rsidRPr="009A0BB9">
        <w:rPr>
          <w:rFonts w:ascii="Times New Roman" w:hAnsi="Times New Roman" w:cs="Times New Roman"/>
          <w:color w:val="000000"/>
          <w:sz w:val="24"/>
        </w:rPr>
        <w:t>l'</w:t>
      </w:r>
      <w:r>
        <w:rPr>
          <w:rFonts w:ascii="Times New Roman" w:hAnsi="Times New Roman" w:cs="Times New Roman"/>
          <w:color w:val="000000"/>
          <w:sz w:val="24"/>
        </w:rPr>
        <w:t>État</w:t>
      </w:r>
      <w:proofErr w:type="spellEnd"/>
      <w:r>
        <w:rPr>
          <w:rFonts w:ascii="Times New Roman" w:hAnsi="Times New Roman" w:cs="Times New Roman"/>
          <w:color w:val="000000"/>
          <w:sz w:val="24"/>
        </w:rPr>
        <w:t xml:space="preserve">-nation, </w:t>
      </w:r>
      <w:proofErr w:type="spellStart"/>
      <w:r>
        <w:rPr>
          <w:rFonts w:ascii="Times New Roman" w:hAnsi="Times New Roman" w:cs="Times New Roman"/>
          <w:color w:val="000000"/>
          <w:sz w:val="24"/>
        </w:rPr>
        <w:t>dans</w:t>
      </w:r>
      <w:proofErr w:type="spellEnd"/>
      <w:r>
        <w:rPr>
          <w:rFonts w:ascii="Times New Roman" w:hAnsi="Times New Roman" w:cs="Times New Roman"/>
          <w:color w:val="000000"/>
          <w:sz w:val="24"/>
        </w:rPr>
        <w:t xml:space="preserve"> les </w:t>
      </w:r>
      <w:proofErr w:type="spellStart"/>
      <w:r>
        <w:rPr>
          <w:rFonts w:ascii="Times New Roman" w:hAnsi="Times New Roman" w:cs="Times New Roman"/>
          <w:color w:val="000000"/>
          <w:sz w:val="24"/>
        </w:rPr>
        <w:t>unités</w:t>
      </w:r>
      <w:proofErr w:type="spellEnd"/>
      <w:r>
        <w:rPr>
          <w:rFonts w:ascii="Times New Roman" w:hAnsi="Times New Roman" w:cs="Times New Roman"/>
          <w:color w:val="000000"/>
          <w:sz w:val="24"/>
        </w:rPr>
        <w:t xml:space="preserve"> de </w:t>
      </w:r>
      <w:proofErr w:type="spellStart"/>
      <w:r w:rsidRPr="009A0BB9">
        <w:rPr>
          <w:rFonts w:ascii="Times New Roman" w:hAnsi="Times New Roman" w:cs="Times New Roman"/>
          <w:color w:val="000000"/>
          <w:sz w:val="24"/>
        </w:rPr>
        <w:t>grandes</w:t>
      </w:r>
      <w:proofErr w:type="spellEnd"/>
      <w:r w:rsidRPr="009A0BB9">
        <w:rPr>
          <w:rFonts w:ascii="Times New Roman" w:hAnsi="Times New Roman" w:cs="Times New Roman"/>
          <w:color w:val="000000"/>
          <w:sz w:val="24"/>
        </w:rPr>
        <w:t xml:space="preserve"> et petites, beaucoup </w:t>
      </w:r>
      <w:proofErr w:type="spellStart"/>
      <w:r w:rsidRPr="009A0BB9">
        <w:rPr>
          <w:rFonts w:ascii="Times New Roman" w:hAnsi="Times New Roman" w:cs="Times New Roman"/>
          <w:color w:val="000000"/>
          <w:sz w:val="24"/>
        </w:rPr>
        <w:t>ou</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peu</w:t>
      </w:r>
      <w:proofErr w:type="spellEnd"/>
      <w:r w:rsidRPr="009A0BB9">
        <w:rPr>
          <w:rFonts w:ascii="Times New Roman" w:hAnsi="Times New Roman" w:cs="Times New Roman"/>
          <w:color w:val="000000"/>
          <w:sz w:val="24"/>
        </w:rPr>
        <w:t xml:space="preserve">. Les clauses de la Constitution de </w:t>
      </w:r>
      <w:proofErr w:type="spellStart"/>
      <w:r w:rsidRPr="009A0BB9">
        <w:rPr>
          <w:rFonts w:ascii="Times New Roman" w:hAnsi="Times New Roman" w:cs="Times New Roman"/>
          <w:color w:val="000000"/>
          <w:sz w:val="24"/>
        </w:rPr>
        <w:t>l</w:t>
      </w:r>
      <w:r>
        <w:rPr>
          <w:rFonts w:ascii="Times New Roman" w:hAnsi="Times New Roman" w:cs="Times New Roman"/>
          <w:color w:val="000000"/>
          <w:sz w:val="24"/>
        </w:rPr>
        <w:t>'Etat</w:t>
      </w:r>
      <w:proofErr w:type="spellEnd"/>
      <w:r>
        <w:rPr>
          <w:rFonts w:ascii="Times New Roman" w:hAnsi="Times New Roman" w:cs="Times New Roman"/>
          <w:color w:val="000000"/>
          <w:sz w:val="24"/>
        </w:rPr>
        <w:t xml:space="preserve">, la constitution de 1945, </w:t>
      </w:r>
      <w:proofErr w:type="spellStart"/>
      <w:r>
        <w:rPr>
          <w:rFonts w:ascii="Times New Roman" w:hAnsi="Times New Roman" w:cs="Times New Roman"/>
          <w:color w:val="000000"/>
          <w:sz w:val="24"/>
        </w:rPr>
        <w:t>tant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dans</w:t>
      </w:r>
      <w:proofErr w:type="spellEnd"/>
      <w:r>
        <w:rPr>
          <w:rFonts w:ascii="Times New Roman" w:hAnsi="Times New Roman" w:cs="Times New Roman"/>
          <w:color w:val="000000"/>
          <w:sz w:val="24"/>
        </w:rPr>
        <w:t xml:space="preserve"> </w:t>
      </w:r>
      <w:proofErr w:type="spellStart"/>
      <w:proofErr w:type="gramStart"/>
      <w:r>
        <w:rPr>
          <w:rFonts w:ascii="Times New Roman" w:hAnsi="Times New Roman" w:cs="Times New Roman"/>
          <w:color w:val="000000"/>
          <w:sz w:val="24"/>
        </w:rPr>
        <w:t>sa</w:t>
      </w:r>
      <w:proofErr w:type="spellEnd"/>
      <w:proofErr w:type="gram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forme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ainsi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que</w:t>
      </w:r>
      <w:proofErr w:type="spellEnd"/>
      <w:r>
        <w:rPr>
          <w:rFonts w:ascii="Times New Roman" w:hAnsi="Times New Roman" w:cs="Times New Roman"/>
          <w:color w:val="000000"/>
          <w:sz w:val="24"/>
        </w:rPr>
        <w:t xml:space="preserve"> </w:t>
      </w:r>
      <w:r w:rsidRPr="009A0BB9">
        <w:rPr>
          <w:rFonts w:ascii="Times New Roman" w:hAnsi="Times New Roman" w:cs="Times New Roman"/>
          <w:color w:val="000000"/>
          <w:sz w:val="24"/>
        </w:rPr>
        <w:t>‘’</w:t>
      </w:r>
      <w:proofErr w:type="spellStart"/>
      <w:r w:rsidRPr="009A0BB9">
        <w:rPr>
          <w:rFonts w:ascii="Times New Roman" w:hAnsi="Times New Roman" w:cs="Times New Roman"/>
          <w:color w:val="000000"/>
          <w:sz w:val="24"/>
        </w:rPr>
        <w:t>staat</w:t>
      </w:r>
      <w:proofErr w:type="spellEnd"/>
      <w:r w:rsidRPr="009A0BB9">
        <w:rPr>
          <w:rFonts w:ascii="Times New Roman" w:hAnsi="Times New Roman" w:cs="Times New Roman"/>
          <w:color w:val="000000"/>
          <w:sz w:val="24"/>
        </w:rPr>
        <w:t>’’</w:t>
      </w:r>
      <w:proofErr w:type="spellStart"/>
      <w:r w:rsidRPr="009A0BB9">
        <w:rPr>
          <w:rFonts w:ascii="Times New Roman" w:hAnsi="Times New Roman" w:cs="Times New Roman"/>
          <w:color w:val="000000"/>
          <w:sz w:val="24"/>
        </w:rPr>
        <w:t>ou</w:t>
      </w:r>
      <w:proofErr w:type="spellEnd"/>
      <w:r w:rsidRPr="009A0BB9">
        <w:rPr>
          <w:rFonts w:ascii="Times New Roman" w:hAnsi="Times New Roman" w:cs="Times New Roman"/>
          <w:color w:val="000000"/>
          <w:sz w:val="24"/>
        </w:rPr>
        <w:t>/et ‘’</w:t>
      </w:r>
      <w:proofErr w:type="spellStart"/>
      <w:r w:rsidRPr="009A0BB9">
        <w:rPr>
          <w:rFonts w:ascii="Times New Roman" w:hAnsi="Times New Roman" w:cs="Times New Roman"/>
          <w:color w:val="000000"/>
          <w:sz w:val="24"/>
        </w:rPr>
        <w:t>fundamentalnorm</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rechtsidee</w:t>
      </w:r>
      <w:proofErr w:type="spellEnd"/>
      <w:r w:rsidRPr="009A0BB9">
        <w:rPr>
          <w:rFonts w:ascii="Times New Roman" w:hAnsi="Times New Roman" w:cs="Times New Roman"/>
          <w:color w:val="000000"/>
          <w:sz w:val="24"/>
        </w:rPr>
        <w:t>’</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affirmant</w:t>
      </w:r>
      <w:proofErr w:type="spellEnd"/>
      <w:r>
        <w:rPr>
          <w:rFonts w:ascii="Times New Roman" w:hAnsi="Times New Roman" w:cs="Times New Roman"/>
          <w:color w:val="000000"/>
          <w:sz w:val="24"/>
        </w:rPr>
        <w:t xml:space="preserve"> le cadre de base de</w:t>
      </w:r>
      <w:r w:rsidRPr="009A0BB9">
        <w:rPr>
          <w:rFonts w:ascii="Times New Roman" w:hAnsi="Times New Roman" w:cs="Times New Roman"/>
          <w:color w:val="000000"/>
          <w:sz w:val="24"/>
        </w:rPr>
        <w:t xml:space="preserve">l ' « </w:t>
      </w:r>
      <w:proofErr w:type="spellStart"/>
      <w:r w:rsidRPr="009A0BB9">
        <w:rPr>
          <w:rFonts w:ascii="Times New Roman" w:hAnsi="Times New Roman" w:cs="Times New Roman"/>
          <w:color w:val="000000"/>
          <w:sz w:val="24"/>
        </w:rPr>
        <w:t>état</w:t>
      </w:r>
      <w:proofErr w:type="spellEnd"/>
      <w:r w:rsidRPr="009A0BB9">
        <w:rPr>
          <w:rFonts w:ascii="Times New Roman" w:hAnsi="Times New Roman" w:cs="Times New Roman"/>
          <w:color w:val="000000"/>
          <w:sz w:val="24"/>
        </w:rPr>
        <w:t xml:space="preserve"> de </w:t>
      </w:r>
      <w:proofErr w:type="spellStart"/>
      <w:r w:rsidRPr="009A0BB9">
        <w:rPr>
          <w:rFonts w:ascii="Times New Roman" w:hAnsi="Times New Roman" w:cs="Times New Roman"/>
          <w:color w:val="000000"/>
          <w:sz w:val="24"/>
        </w:rPr>
        <w:t>tous</w:t>
      </w:r>
      <w:proofErr w:type="spellEnd"/>
      <w:r w:rsidRPr="009A0BB9">
        <w:rPr>
          <w:rFonts w:ascii="Times New Roman" w:hAnsi="Times New Roman" w:cs="Times New Roman"/>
          <w:color w:val="000000"/>
          <w:sz w:val="24"/>
        </w:rPr>
        <w:t xml:space="preserve"> pour </w:t>
      </w:r>
      <w:proofErr w:type="spellStart"/>
      <w:r w:rsidRPr="009A0BB9">
        <w:rPr>
          <w:rFonts w:ascii="Times New Roman" w:hAnsi="Times New Roman" w:cs="Times New Roman"/>
          <w:color w:val="000000"/>
          <w:sz w:val="24"/>
        </w:rPr>
        <w:t>tous</w:t>
      </w:r>
      <w:proofErr w:type="spellEnd"/>
      <w:r w:rsidRPr="009A0BB9">
        <w:rPr>
          <w:rFonts w:ascii="Times New Roman" w:hAnsi="Times New Roman" w:cs="Times New Roman"/>
          <w:color w:val="000000"/>
          <w:sz w:val="24"/>
        </w:rPr>
        <w:t xml:space="preserve"> », </w:t>
      </w:r>
      <w:proofErr w:type="spellStart"/>
      <w:r w:rsidRPr="009A0BB9">
        <w:rPr>
          <w:rFonts w:ascii="Times New Roman" w:hAnsi="Times New Roman" w:cs="Times New Roman"/>
          <w:color w:val="000000"/>
          <w:sz w:val="24"/>
        </w:rPr>
        <w:t>comme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idéalisme</w:t>
      </w:r>
      <w:proofErr w:type="spellEnd"/>
      <w:r w:rsidRPr="009A0BB9">
        <w:rPr>
          <w:rFonts w:ascii="Times New Roman" w:hAnsi="Times New Roman" w:cs="Times New Roman"/>
          <w:color w:val="000000"/>
          <w:sz w:val="24"/>
        </w:rPr>
        <w:t xml:space="preserve"> par les </w:t>
      </w:r>
      <w:proofErr w:type="spellStart"/>
      <w:r w:rsidRPr="009A0BB9">
        <w:rPr>
          <w:rFonts w:ascii="Times New Roman" w:hAnsi="Times New Roman" w:cs="Times New Roman"/>
          <w:color w:val="000000"/>
          <w:sz w:val="24"/>
        </w:rPr>
        <w:t>fondateurs</w:t>
      </w:r>
      <w:proofErr w:type="spellEnd"/>
      <w:r w:rsidRPr="009A0BB9">
        <w:rPr>
          <w:rFonts w:ascii="Times New Roman" w:hAnsi="Times New Roman" w:cs="Times New Roman"/>
          <w:color w:val="000000"/>
          <w:sz w:val="24"/>
        </w:rPr>
        <w:t xml:space="preserve"> de </w:t>
      </w:r>
      <w:proofErr w:type="spellStart"/>
      <w:r w:rsidRPr="009A0BB9">
        <w:rPr>
          <w:rFonts w:ascii="Times New Roman" w:hAnsi="Times New Roman" w:cs="Times New Roman"/>
          <w:color w:val="000000"/>
          <w:sz w:val="24"/>
        </w:rPr>
        <w:t>l'État</w:t>
      </w:r>
      <w:proofErr w:type="spellEnd"/>
      <w:r w:rsidRPr="009A0BB9">
        <w:rPr>
          <w:rFonts w:ascii="Times New Roman" w:hAnsi="Times New Roman" w:cs="Times New Roman"/>
          <w:color w:val="000000"/>
          <w:sz w:val="24"/>
        </w:rPr>
        <w:t xml:space="preserve">-nation et </w:t>
      </w:r>
      <w:proofErr w:type="spellStart"/>
      <w:r w:rsidRPr="009A0BB9">
        <w:rPr>
          <w:rFonts w:ascii="Times New Roman" w:hAnsi="Times New Roman" w:cs="Times New Roman"/>
          <w:color w:val="000000"/>
          <w:sz w:val="24"/>
        </w:rPr>
        <w:t>intrinsèquement</w:t>
      </w:r>
      <w:proofErr w:type="spellEnd"/>
      <w:r w:rsidRPr="009A0BB9">
        <w:rPr>
          <w:rFonts w:ascii="Times New Roman" w:hAnsi="Times New Roman" w:cs="Times New Roman"/>
          <w:color w:val="000000"/>
          <w:sz w:val="24"/>
        </w:rPr>
        <w:br/>
      </w:r>
      <w:proofErr w:type="spellStart"/>
      <w:r w:rsidRPr="009A0BB9">
        <w:rPr>
          <w:rFonts w:ascii="Times New Roman" w:hAnsi="Times New Roman" w:cs="Times New Roman"/>
          <w:color w:val="000000"/>
          <w:sz w:val="24"/>
        </w:rPr>
        <w:t>qu'énoncés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dans</w:t>
      </w:r>
      <w:proofErr w:type="spellEnd"/>
      <w:r w:rsidRPr="009A0BB9">
        <w:rPr>
          <w:rFonts w:ascii="Times New Roman" w:hAnsi="Times New Roman" w:cs="Times New Roman"/>
          <w:color w:val="000000"/>
          <w:sz w:val="24"/>
        </w:rPr>
        <w:t xml:space="preserve"> les pays de base et </w:t>
      </w:r>
      <w:proofErr w:type="spellStart"/>
      <w:r w:rsidRPr="009A0BB9">
        <w:rPr>
          <w:rFonts w:ascii="Times New Roman" w:hAnsi="Times New Roman" w:cs="Times New Roman"/>
          <w:color w:val="000000"/>
          <w:sz w:val="24"/>
        </w:rPr>
        <w:t>ses</w:t>
      </w:r>
      <w:proofErr w:type="spellEnd"/>
      <w:r w:rsidRPr="009A0BB9">
        <w:rPr>
          <w:rFonts w:ascii="Times New Roman" w:hAnsi="Times New Roman" w:cs="Times New Roman"/>
          <w:color w:val="000000"/>
          <w:sz w:val="24"/>
        </w:rPr>
        <w:t xml:space="preserve"> antis. </w:t>
      </w:r>
      <w:proofErr w:type="spellStart"/>
      <w:proofErr w:type="gramStart"/>
      <w:r w:rsidRPr="009A0BB9">
        <w:rPr>
          <w:rFonts w:ascii="Times New Roman" w:hAnsi="Times New Roman" w:cs="Times New Roman"/>
          <w:color w:val="000000"/>
          <w:sz w:val="24"/>
        </w:rPr>
        <w:t>Ainsi</w:t>
      </w:r>
      <w:proofErr w:type="spellEnd"/>
      <w:r w:rsidRPr="009A0BB9">
        <w:rPr>
          <w:rFonts w:ascii="Times New Roman" w:hAnsi="Times New Roman" w:cs="Times New Roman"/>
          <w:color w:val="000000"/>
          <w:sz w:val="24"/>
        </w:rPr>
        <w:t xml:space="preserve">, le </w:t>
      </w:r>
      <w:proofErr w:type="spellStart"/>
      <w:r w:rsidRPr="009A0BB9">
        <w:rPr>
          <w:rFonts w:ascii="Times New Roman" w:hAnsi="Times New Roman" w:cs="Times New Roman"/>
          <w:color w:val="000000"/>
          <w:sz w:val="24"/>
        </w:rPr>
        <w:t>règlement</w:t>
      </w:r>
      <w:proofErr w:type="spellEnd"/>
      <w:r w:rsidRPr="009A0BB9">
        <w:rPr>
          <w:rFonts w:ascii="Times New Roman" w:hAnsi="Times New Roman" w:cs="Times New Roman"/>
          <w:color w:val="000000"/>
          <w:sz w:val="24"/>
        </w:rPr>
        <w:t xml:space="preserve"> pol</w:t>
      </w:r>
      <w:r>
        <w:rPr>
          <w:rFonts w:ascii="Times New Roman" w:hAnsi="Times New Roman" w:cs="Times New Roman"/>
          <w:color w:val="000000"/>
          <w:sz w:val="24"/>
        </w:rPr>
        <w:t>itico-</w:t>
      </w:r>
      <w:proofErr w:type="spellStart"/>
      <w:r>
        <w:rPr>
          <w:rFonts w:ascii="Times New Roman" w:hAnsi="Times New Roman" w:cs="Times New Roman"/>
          <w:color w:val="000000"/>
          <w:sz w:val="24"/>
        </w:rPr>
        <w:t>juridique</w:t>
      </w:r>
      <w:proofErr w:type="spellEnd"/>
      <w:r>
        <w:rPr>
          <w:rFonts w:ascii="Times New Roman" w:hAnsi="Times New Roman" w:cs="Times New Roman"/>
          <w:color w:val="000000"/>
          <w:sz w:val="24"/>
        </w:rPr>
        <w:t xml:space="preserve"> au </w:t>
      </w:r>
      <w:proofErr w:type="spellStart"/>
      <w:r>
        <w:rPr>
          <w:rFonts w:ascii="Times New Roman" w:hAnsi="Times New Roman" w:cs="Times New Roman"/>
          <w:color w:val="000000"/>
          <w:sz w:val="24"/>
        </w:rPr>
        <w:lastRenderedPageBreak/>
        <w:t>niveau</w:t>
      </w:r>
      <w:proofErr w:type="spellEnd"/>
      <w:r>
        <w:rPr>
          <w:rFonts w:ascii="Times New Roman" w:hAnsi="Times New Roman" w:cs="Times New Roman"/>
          <w:color w:val="000000"/>
          <w:sz w:val="24"/>
        </w:rPr>
        <w:t xml:space="preserve"> de la </w:t>
      </w:r>
      <w:proofErr w:type="spellStart"/>
      <w:r w:rsidRPr="009A0BB9">
        <w:rPr>
          <w:rFonts w:ascii="Times New Roman" w:hAnsi="Times New Roman" w:cs="Times New Roman"/>
          <w:color w:val="000000"/>
          <w:sz w:val="24"/>
        </w:rPr>
        <w:t>gouvernance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doit</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être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construite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sur</w:t>
      </w:r>
      <w:proofErr w:type="spellEnd"/>
      <w:r w:rsidRPr="009A0BB9">
        <w:rPr>
          <w:rFonts w:ascii="Times New Roman" w:hAnsi="Times New Roman" w:cs="Times New Roman"/>
          <w:color w:val="000000"/>
          <w:sz w:val="24"/>
        </w:rPr>
        <w:t xml:space="preserve"> les </w:t>
      </w:r>
      <w:proofErr w:type="spellStart"/>
      <w:r w:rsidRPr="009A0BB9">
        <w:rPr>
          <w:rFonts w:ascii="Times New Roman" w:hAnsi="Times New Roman" w:cs="Times New Roman"/>
          <w:color w:val="000000"/>
          <w:sz w:val="24"/>
        </w:rPr>
        <w:t>fondements</w:t>
      </w:r>
      <w:proofErr w:type="spellEnd"/>
      <w:r w:rsidRPr="009A0BB9">
        <w:rPr>
          <w:rFonts w:ascii="Times New Roman" w:hAnsi="Times New Roman" w:cs="Times New Roman"/>
          <w:color w:val="000000"/>
          <w:sz w:val="24"/>
        </w:rPr>
        <w:t xml:space="preserve"> de la </w:t>
      </w:r>
      <w:proofErr w:type="spellStart"/>
      <w:r w:rsidRPr="009A0BB9">
        <w:rPr>
          <w:rFonts w:ascii="Times New Roman" w:hAnsi="Times New Roman" w:cs="Times New Roman"/>
          <w:color w:val="000000"/>
          <w:sz w:val="24"/>
        </w:rPr>
        <w:t>philosophie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constitutionnelle</w:t>
      </w:r>
      <w:proofErr w:type="spellEnd"/>
      <w:r w:rsidRPr="009A0BB9">
        <w:rPr>
          <w:rFonts w:ascii="Times New Roman" w:hAnsi="Times New Roman" w:cs="Times New Roman"/>
          <w:color w:val="000000"/>
          <w:sz w:val="24"/>
        </w:rPr>
        <w:t>.</w:t>
      </w:r>
      <w:proofErr w:type="gramEnd"/>
      <w:r w:rsidRPr="009A0BB9">
        <w:rPr>
          <w:rFonts w:ascii="Times New Roman" w:hAnsi="Times New Roman" w:cs="Times New Roman"/>
          <w:color w:val="000000"/>
          <w:sz w:val="24"/>
        </w:rPr>
        <w:br/>
      </w:r>
    </w:p>
    <w:p w:rsidR="009A0BB9" w:rsidRDefault="009A0BB9" w:rsidP="0072700D">
      <w:pPr>
        <w:pStyle w:val="ListParagraph"/>
        <w:spacing w:line="480" w:lineRule="auto"/>
        <w:jc w:val="both"/>
        <w:rPr>
          <w:rFonts w:ascii="Times New Roman" w:hAnsi="Times New Roman" w:cs="Times New Roman"/>
          <w:color w:val="000000"/>
          <w:sz w:val="24"/>
        </w:rPr>
      </w:pPr>
      <w:r w:rsidRPr="009A0BB9">
        <w:rPr>
          <w:rFonts w:ascii="Times New Roman" w:hAnsi="Times New Roman" w:cs="Times New Roman"/>
          <w:color w:val="000000"/>
          <w:sz w:val="24"/>
        </w:rPr>
        <w:t xml:space="preserve">En </w:t>
      </w:r>
      <w:proofErr w:type="spellStart"/>
      <w:r w:rsidRPr="009A0BB9">
        <w:rPr>
          <w:rFonts w:ascii="Times New Roman" w:hAnsi="Times New Roman" w:cs="Times New Roman"/>
          <w:color w:val="000000"/>
          <w:sz w:val="24"/>
        </w:rPr>
        <w:t>troisième</w:t>
      </w:r>
      <w:proofErr w:type="spellEnd"/>
      <w:r w:rsidRPr="009A0BB9">
        <w:rPr>
          <w:rFonts w:ascii="Times New Roman" w:hAnsi="Times New Roman" w:cs="Times New Roman"/>
          <w:color w:val="000000"/>
          <w:sz w:val="24"/>
        </w:rPr>
        <w:t xml:space="preserve"> lieu, en </w:t>
      </w:r>
      <w:proofErr w:type="spellStart"/>
      <w:r w:rsidRPr="009A0BB9">
        <w:rPr>
          <w:rFonts w:ascii="Times New Roman" w:hAnsi="Times New Roman" w:cs="Times New Roman"/>
          <w:color w:val="000000"/>
          <w:sz w:val="24"/>
        </w:rPr>
        <w:t>termes</w:t>
      </w:r>
      <w:proofErr w:type="spellEnd"/>
      <w:r w:rsidRPr="009A0BB9">
        <w:rPr>
          <w:rFonts w:ascii="Times New Roman" w:hAnsi="Times New Roman" w:cs="Times New Roman"/>
          <w:color w:val="000000"/>
          <w:sz w:val="24"/>
        </w:rPr>
        <w:t xml:space="preserve"> de </w:t>
      </w:r>
      <w:proofErr w:type="spellStart"/>
      <w:r w:rsidRPr="009A0BB9">
        <w:rPr>
          <w:rFonts w:ascii="Times New Roman" w:hAnsi="Times New Roman" w:cs="Times New Roman"/>
          <w:color w:val="000000"/>
          <w:sz w:val="24"/>
        </w:rPr>
        <w:t>dérivés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juridiques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l'article</w:t>
      </w:r>
      <w:proofErr w:type="spellEnd"/>
      <w:r w:rsidRPr="009A0BB9">
        <w:rPr>
          <w:rFonts w:ascii="Times New Roman" w:hAnsi="Times New Roman" w:cs="Times New Roman"/>
          <w:color w:val="000000"/>
          <w:sz w:val="24"/>
        </w:rPr>
        <w:t xml:space="preserve"> 27 du </w:t>
      </w:r>
      <w:proofErr w:type="spellStart"/>
      <w:r w:rsidRPr="009A0BB9">
        <w:rPr>
          <w:rFonts w:ascii="Times New Roman" w:hAnsi="Times New Roman" w:cs="Times New Roman"/>
          <w:color w:val="000000"/>
          <w:sz w:val="24"/>
        </w:rPr>
        <w:t>Pacte</w:t>
      </w:r>
      <w:proofErr w:type="spellEnd"/>
      <w:r w:rsidRPr="009A0BB9">
        <w:rPr>
          <w:rFonts w:ascii="Times New Roman" w:hAnsi="Times New Roman" w:cs="Times New Roman"/>
          <w:color w:val="000000"/>
          <w:sz w:val="24"/>
        </w:rPr>
        <w:t xml:space="preserve"> i</w:t>
      </w:r>
      <w:r>
        <w:rPr>
          <w:rFonts w:ascii="Times New Roman" w:hAnsi="Times New Roman" w:cs="Times New Roman"/>
          <w:color w:val="000000"/>
          <w:sz w:val="24"/>
        </w:rPr>
        <w:t xml:space="preserve">nternational </w:t>
      </w:r>
      <w:proofErr w:type="spellStart"/>
      <w:r>
        <w:rPr>
          <w:rFonts w:ascii="Times New Roman" w:hAnsi="Times New Roman" w:cs="Times New Roman"/>
          <w:color w:val="000000"/>
          <w:sz w:val="24"/>
        </w:rPr>
        <w:t>relatif</w:t>
      </w:r>
      <w:proofErr w:type="spellEnd"/>
      <w:r>
        <w:rPr>
          <w:rFonts w:ascii="Times New Roman" w:hAnsi="Times New Roman" w:cs="Times New Roman"/>
          <w:color w:val="000000"/>
          <w:sz w:val="24"/>
        </w:rPr>
        <w:t xml:space="preserve"> aux </w:t>
      </w:r>
      <w:proofErr w:type="spellStart"/>
      <w:r>
        <w:rPr>
          <w:rFonts w:ascii="Times New Roman" w:hAnsi="Times New Roman" w:cs="Times New Roman"/>
          <w:color w:val="000000"/>
          <w:sz w:val="24"/>
        </w:rPr>
        <w:t>droits</w:t>
      </w:r>
      <w:proofErr w:type="spellEnd"/>
      <w:r>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civils</w:t>
      </w:r>
      <w:proofErr w:type="spellEnd"/>
      <w:r w:rsidRPr="009A0BB9">
        <w:rPr>
          <w:rFonts w:ascii="Times New Roman" w:hAnsi="Times New Roman" w:cs="Times New Roman"/>
          <w:color w:val="000000"/>
          <w:sz w:val="24"/>
        </w:rPr>
        <w:t xml:space="preserve"> </w:t>
      </w:r>
      <w:proofErr w:type="gramStart"/>
      <w:r w:rsidRPr="009A0BB9">
        <w:rPr>
          <w:rFonts w:ascii="Times New Roman" w:hAnsi="Times New Roman" w:cs="Times New Roman"/>
          <w:color w:val="000000"/>
          <w:sz w:val="24"/>
        </w:rPr>
        <w:t>et</w:t>
      </w:r>
      <w:proofErr w:type="gram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politiques</w:t>
      </w:r>
      <w:proofErr w:type="spellEnd"/>
      <w:r w:rsidRPr="009A0BB9">
        <w:rPr>
          <w:rFonts w:ascii="Times New Roman" w:hAnsi="Times New Roman" w:cs="Times New Roman"/>
          <w:color w:val="000000"/>
          <w:sz w:val="24"/>
        </w:rPr>
        <w:t xml:space="preserve"> (PIDCP), qui a </w:t>
      </w:r>
      <w:proofErr w:type="spellStart"/>
      <w:r w:rsidRPr="009A0BB9">
        <w:rPr>
          <w:rFonts w:ascii="Times New Roman" w:hAnsi="Times New Roman" w:cs="Times New Roman"/>
          <w:color w:val="000000"/>
          <w:sz w:val="24"/>
        </w:rPr>
        <w:t>été</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ratif</w:t>
      </w:r>
      <w:r>
        <w:rPr>
          <w:rFonts w:ascii="Times New Roman" w:hAnsi="Times New Roman" w:cs="Times New Roman"/>
          <w:color w:val="000000"/>
          <w:sz w:val="24"/>
        </w:rPr>
        <w:t>iée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dans</w:t>
      </w:r>
      <w:proofErr w:type="spellEnd"/>
      <w:r>
        <w:rPr>
          <w:rFonts w:ascii="Times New Roman" w:hAnsi="Times New Roman" w:cs="Times New Roman"/>
          <w:color w:val="000000"/>
          <w:sz w:val="24"/>
        </w:rPr>
        <w:t xml:space="preserve"> la </w:t>
      </w:r>
      <w:proofErr w:type="spellStart"/>
      <w:r>
        <w:rPr>
          <w:rFonts w:ascii="Times New Roman" w:hAnsi="Times New Roman" w:cs="Times New Roman"/>
          <w:color w:val="000000"/>
          <w:sz w:val="24"/>
        </w:rPr>
        <w:t>loi</w:t>
      </w:r>
      <w:proofErr w:type="spellEnd"/>
      <w:r>
        <w:rPr>
          <w:rFonts w:ascii="Times New Roman" w:hAnsi="Times New Roman" w:cs="Times New Roman"/>
          <w:color w:val="000000"/>
          <w:sz w:val="24"/>
        </w:rPr>
        <w:t xml:space="preserve"> n ° 12 de 2005, </w:t>
      </w:r>
      <w:proofErr w:type="spellStart"/>
      <w:r w:rsidRPr="009A0BB9">
        <w:rPr>
          <w:rFonts w:ascii="Times New Roman" w:hAnsi="Times New Roman" w:cs="Times New Roman"/>
          <w:color w:val="000000"/>
          <w:sz w:val="24"/>
        </w:rPr>
        <w:t>g</w:t>
      </w:r>
      <w:r>
        <w:rPr>
          <w:rFonts w:ascii="Times New Roman" w:hAnsi="Times New Roman" w:cs="Times New Roman"/>
          <w:color w:val="000000"/>
          <w:sz w:val="24"/>
        </w:rPr>
        <w:t>arantit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expressément</w:t>
      </w:r>
      <w:proofErr w:type="spellEnd"/>
      <w:r>
        <w:rPr>
          <w:rFonts w:ascii="Times New Roman" w:hAnsi="Times New Roman" w:cs="Times New Roman"/>
          <w:color w:val="000000"/>
          <w:sz w:val="24"/>
        </w:rPr>
        <w:t xml:space="preserve"> les </w:t>
      </w:r>
      <w:proofErr w:type="spellStart"/>
      <w:r>
        <w:rPr>
          <w:rFonts w:ascii="Times New Roman" w:hAnsi="Times New Roman" w:cs="Times New Roman"/>
          <w:color w:val="000000"/>
          <w:sz w:val="24"/>
        </w:rPr>
        <w:t>droits</w:t>
      </w:r>
      <w:proofErr w:type="spellEnd"/>
      <w:r>
        <w:rPr>
          <w:rFonts w:ascii="Times New Roman" w:hAnsi="Times New Roman" w:cs="Times New Roman"/>
          <w:color w:val="000000"/>
          <w:sz w:val="24"/>
        </w:rPr>
        <w:t xml:space="preserve"> </w:t>
      </w:r>
      <w:r w:rsidRPr="009A0BB9">
        <w:rPr>
          <w:rFonts w:ascii="Times New Roman" w:hAnsi="Times New Roman" w:cs="Times New Roman"/>
          <w:color w:val="000000"/>
          <w:sz w:val="24"/>
        </w:rPr>
        <w:t xml:space="preserve">des </w:t>
      </w:r>
      <w:proofErr w:type="spellStart"/>
      <w:r w:rsidRPr="009A0BB9">
        <w:rPr>
          <w:rFonts w:ascii="Times New Roman" w:hAnsi="Times New Roman" w:cs="Times New Roman"/>
          <w:color w:val="000000"/>
          <w:sz w:val="24"/>
        </w:rPr>
        <w:t>minorités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Ainsi</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l'ordre</w:t>
      </w:r>
      <w:proofErr w:type="spellEnd"/>
      <w:r w:rsidRPr="009A0BB9">
        <w:rPr>
          <w:rFonts w:ascii="Times New Roman" w:hAnsi="Times New Roman" w:cs="Times New Roman"/>
          <w:color w:val="000000"/>
          <w:sz w:val="24"/>
        </w:rPr>
        <w:t xml:space="preserve"> du jour de </w:t>
      </w:r>
      <w:proofErr w:type="spellStart"/>
      <w:r w:rsidRPr="009A0BB9">
        <w:rPr>
          <w:rFonts w:ascii="Times New Roman" w:hAnsi="Times New Roman" w:cs="Times New Roman"/>
          <w:color w:val="000000"/>
          <w:sz w:val="24"/>
        </w:rPr>
        <w:t>l'application</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devrait</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être</w:t>
      </w:r>
      <w:proofErr w:type="spellEnd"/>
      <w:r w:rsidRPr="009A0BB9">
        <w:rPr>
          <w:rFonts w:ascii="Times New Roman" w:hAnsi="Times New Roman" w:cs="Times New Roman"/>
          <w:color w:val="000000"/>
          <w:sz w:val="24"/>
        </w:rPr>
        <w:t xml:space="preserve"> la </w:t>
      </w:r>
      <w:proofErr w:type="spellStart"/>
      <w:r w:rsidRPr="009A0BB9">
        <w:rPr>
          <w:rFonts w:ascii="Times New Roman" w:hAnsi="Times New Roman" w:cs="Times New Roman"/>
          <w:color w:val="000000"/>
          <w:sz w:val="24"/>
        </w:rPr>
        <w:t>préoccupation</w:t>
      </w:r>
      <w:proofErr w:type="spellEnd"/>
      <w:r w:rsidRPr="009A0BB9">
        <w:rPr>
          <w:rFonts w:ascii="Times New Roman" w:hAnsi="Times New Roman" w:cs="Times New Roman"/>
          <w:color w:val="000000"/>
          <w:sz w:val="24"/>
        </w:rPr>
        <w:t xml:space="preserve"> de </w:t>
      </w:r>
      <w:proofErr w:type="spellStart"/>
      <w:r w:rsidRPr="009A0BB9">
        <w:rPr>
          <w:rFonts w:ascii="Times New Roman" w:hAnsi="Times New Roman" w:cs="Times New Roman"/>
          <w:color w:val="000000"/>
          <w:sz w:val="24"/>
        </w:rPr>
        <w:t>tout</w:t>
      </w:r>
      <w:r>
        <w:rPr>
          <w:rFonts w:ascii="Times New Roman" w:hAnsi="Times New Roman" w:cs="Times New Roman"/>
          <w:color w:val="000000"/>
          <w:sz w:val="24"/>
        </w:rPr>
        <w:t>es</w:t>
      </w:r>
      <w:proofErr w:type="spellEnd"/>
      <w:r>
        <w:rPr>
          <w:rFonts w:ascii="Times New Roman" w:hAnsi="Times New Roman" w:cs="Times New Roman"/>
          <w:color w:val="000000"/>
          <w:sz w:val="24"/>
        </w:rPr>
        <w:t xml:space="preserve"> les </w:t>
      </w:r>
      <w:proofErr w:type="gramStart"/>
      <w:r>
        <w:rPr>
          <w:rFonts w:ascii="Times New Roman" w:hAnsi="Times New Roman" w:cs="Times New Roman"/>
          <w:color w:val="000000"/>
          <w:sz w:val="24"/>
        </w:rPr>
        <w:t>parties</w:t>
      </w:r>
      <w:proofErr w:type="gramEnd"/>
      <w:r>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que</w:t>
      </w:r>
      <w:proofErr w:type="spellEnd"/>
      <w:r w:rsidRPr="009A0BB9">
        <w:rPr>
          <w:rFonts w:ascii="Times New Roman" w:hAnsi="Times New Roman" w:cs="Times New Roman"/>
          <w:color w:val="000000"/>
          <w:sz w:val="24"/>
        </w:rPr>
        <w:t xml:space="preserve"> la </w:t>
      </w:r>
      <w:proofErr w:type="spellStart"/>
      <w:r w:rsidRPr="009A0BB9">
        <w:rPr>
          <w:rFonts w:ascii="Times New Roman" w:hAnsi="Times New Roman" w:cs="Times New Roman"/>
          <w:color w:val="000000"/>
          <w:sz w:val="24"/>
        </w:rPr>
        <w:t>loi</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n’est</w:t>
      </w:r>
      <w:proofErr w:type="spellEnd"/>
      <w:r w:rsidRPr="009A0BB9">
        <w:rPr>
          <w:rFonts w:ascii="Times New Roman" w:hAnsi="Times New Roman" w:cs="Times New Roman"/>
          <w:color w:val="000000"/>
          <w:sz w:val="24"/>
        </w:rPr>
        <w:t xml:space="preserve"> pas </w:t>
      </w:r>
      <w:proofErr w:type="spellStart"/>
      <w:r w:rsidRPr="009A0BB9">
        <w:rPr>
          <w:rFonts w:ascii="Times New Roman" w:hAnsi="Times New Roman" w:cs="Times New Roman"/>
          <w:color w:val="000000"/>
          <w:sz w:val="24"/>
        </w:rPr>
        <w:t>seulement</w:t>
      </w:r>
      <w:proofErr w:type="spellEnd"/>
      <w:r w:rsidRPr="009A0BB9">
        <w:rPr>
          <w:rFonts w:ascii="Times New Roman" w:hAnsi="Times New Roman" w:cs="Times New Roman"/>
          <w:color w:val="000000"/>
          <w:sz w:val="24"/>
        </w:rPr>
        <w:t xml:space="preserve"> le </w:t>
      </w:r>
      <w:proofErr w:type="spellStart"/>
      <w:r w:rsidRPr="009A0BB9">
        <w:rPr>
          <w:rFonts w:ascii="Times New Roman" w:hAnsi="Times New Roman" w:cs="Times New Roman"/>
          <w:color w:val="000000"/>
          <w:sz w:val="24"/>
        </w:rPr>
        <w:t>protecteur</w:t>
      </w:r>
      <w:proofErr w:type="spellEnd"/>
      <w:r w:rsidRPr="009A0BB9">
        <w:rPr>
          <w:rFonts w:ascii="Times New Roman" w:hAnsi="Times New Roman" w:cs="Times New Roman"/>
          <w:color w:val="000000"/>
          <w:sz w:val="24"/>
        </w:rPr>
        <w:t xml:space="preserve"> de la </w:t>
      </w:r>
      <w:proofErr w:type="spellStart"/>
      <w:r w:rsidRPr="009A0BB9">
        <w:rPr>
          <w:rFonts w:ascii="Times New Roman" w:hAnsi="Times New Roman" w:cs="Times New Roman"/>
          <w:color w:val="000000"/>
          <w:sz w:val="24"/>
        </w:rPr>
        <w:t>majorité</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mais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aussi</w:t>
      </w:r>
      <w:proofErr w:type="spellEnd"/>
      <w:r w:rsidRPr="009A0BB9">
        <w:rPr>
          <w:rFonts w:ascii="Times New Roman" w:hAnsi="Times New Roman" w:cs="Times New Roman"/>
          <w:color w:val="000000"/>
          <w:sz w:val="24"/>
        </w:rPr>
        <w:t xml:space="preserve"> la </w:t>
      </w:r>
      <w:proofErr w:type="spellStart"/>
      <w:r w:rsidRPr="009A0BB9">
        <w:rPr>
          <w:rFonts w:ascii="Times New Roman" w:hAnsi="Times New Roman" w:cs="Times New Roman"/>
          <w:color w:val="000000"/>
          <w:sz w:val="24"/>
        </w:rPr>
        <w:t>protectrice</w:t>
      </w:r>
      <w:proofErr w:type="spellEnd"/>
      <w:r w:rsidRPr="009A0BB9">
        <w:rPr>
          <w:rFonts w:ascii="Times New Roman" w:hAnsi="Times New Roman" w:cs="Times New Roman"/>
          <w:color w:val="000000"/>
          <w:sz w:val="24"/>
        </w:rPr>
        <w:t xml:space="preserve"> pour les </w:t>
      </w:r>
      <w:proofErr w:type="spellStart"/>
      <w:r w:rsidRPr="009A0BB9">
        <w:rPr>
          <w:rFonts w:ascii="Times New Roman" w:hAnsi="Times New Roman" w:cs="Times New Roman"/>
          <w:color w:val="000000"/>
          <w:sz w:val="24"/>
        </w:rPr>
        <w:t>minorités</w:t>
      </w:r>
      <w:proofErr w:type="spellEnd"/>
      <w:r w:rsidRPr="009A0BB9">
        <w:rPr>
          <w:rFonts w:ascii="Times New Roman" w:hAnsi="Times New Roman" w:cs="Times New Roman"/>
          <w:color w:val="000000"/>
          <w:sz w:val="24"/>
        </w:rPr>
        <w:t>.</w:t>
      </w:r>
      <w:r w:rsidRPr="009A0BB9">
        <w:rPr>
          <w:rFonts w:ascii="Times New Roman" w:hAnsi="Times New Roman" w:cs="Times New Roman"/>
          <w:color w:val="000000"/>
          <w:sz w:val="24"/>
        </w:rPr>
        <w:br/>
      </w:r>
    </w:p>
    <w:p w:rsidR="009A0BB9" w:rsidRPr="009A0BB9" w:rsidRDefault="009A0BB9" w:rsidP="0072700D">
      <w:pPr>
        <w:pStyle w:val="ListParagraph"/>
        <w:spacing w:line="480" w:lineRule="auto"/>
        <w:jc w:val="both"/>
        <w:rPr>
          <w:rFonts w:ascii="Times New Roman" w:hAnsi="Times New Roman" w:cs="Times New Roman"/>
          <w:sz w:val="24"/>
        </w:rPr>
      </w:pPr>
      <w:proofErr w:type="spellStart"/>
      <w:r w:rsidRPr="009A0BB9">
        <w:rPr>
          <w:rFonts w:ascii="Times New Roman" w:hAnsi="Times New Roman" w:cs="Times New Roman"/>
          <w:color w:val="000000"/>
          <w:sz w:val="24"/>
        </w:rPr>
        <w:t>Quatrièmement</w:t>
      </w:r>
      <w:proofErr w:type="spellEnd"/>
      <w:r w:rsidRPr="009A0BB9">
        <w:rPr>
          <w:rFonts w:ascii="Times New Roman" w:hAnsi="Times New Roman" w:cs="Times New Roman"/>
          <w:color w:val="000000"/>
          <w:sz w:val="24"/>
        </w:rPr>
        <w:t xml:space="preserve">, en </w:t>
      </w:r>
      <w:proofErr w:type="spellStart"/>
      <w:r w:rsidRPr="009A0BB9">
        <w:rPr>
          <w:rFonts w:ascii="Times New Roman" w:hAnsi="Times New Roman" w:cs="Times New Roman"/>
          <w:color w:val="000000"/>
          <w:sz w:val="24"/>
        </w:rPr>
        <w:t>statistique</w:t>
      </w:r>
      <w:proofErr w:type="spellEnd"/>
      <w:r w:rsidRPr="009A0BB9">
        <w:rPr>
          <w:rFonts w:ascii="Times New Roman" w:hAnsi="Times New Roman" w:cs="Times New Roman"/>
          <w:color w:val="000000"/>
          <w:sz w:val="24"/>
        </w:rPr>
        <w:t xml:space="preserve">, la </w:t>
      </w:r>
      <w:proofErr w:type="spellStart"/>
      <w:r w:rsidRPr="009A0BB9">
        <w:rPr>
          <w:rFonts w:ascii="Times New Roman" w:hAnsi="Times New Roman" w:cs="Times New Roman"/>
          <w:color w:val="000000"/>
          <w:sz w:val="24"/>
        </w:rPr>
        <w:t>recherche</w:t>
      </w:r>
      <w:proofErr w:type="spellEnd"/>
      <w:r w:rsidRPr="009A0BB9">
        <w:rPr>
          <w:rFonts w:ascii="Times New Roman" w:hAnsi="Times New Roman" w:cs="Times New Roman"/>
          <w:color w:val="000000"/>
          <w:sz w:val="24"/>
        </w:rPr>
        <w:t xml:space="preserve"> et le </w:t>
      </w:r>
      <w:proofErr w:type="spellStart"/>
      <w:r w:rsidRPr="009A0BB9">
        <w:rPr>
          <w:rFonts w:ascii="Times New Roman" w:hAnsi="Times New Roman" w:cs="Times New Roman"/>
          <w:color w:val="000000"/>
          <w:sz w:val="24"/>
        </w:rPr>
        <w:t>suivi</w:t>
      </w:r>
      <w:proofErr w:type="spellEnd"/>
      <w:r w:rsidRPr="009A0BB9">
        <w:rPr>
          <w:rFonts w:ascii="Times New Roman" w:hAnsi="Times New Roman" w:cs="Times New Roman"/>
          <w:color w:val="000000"/>
          <w:sz w:val="24"/>
        </w:rPr>
        <w:t xml:space="preserve"> des </w:t>
      </w:r>
      <w:proofErr w:type="spellStart"/>
      <w:r w:rsidRPr="009A0BB9">
        <w:rPr>
          <w:rFonts w:ascii="Times New Roman" w:hAnsi="Times New Roman" w:cs="Times New Roman"/>
          <w:color w:val="000000"/>
          <w:sz w:val="24"/>
        </w:rPr>
        <w:t>données</w:t>
      </w:r>
      <w:proofErr w:type="spellEnd"/>
      <w:r w:rsidRPr="009A0BB9">
        <w:rPr>
          <w:rFonts w:ascii="Times New Roman" w:hAnsi="Times New Roman" w:cs="Times New Roman"/>
          <w:color w:val="000000"/>
          <w:sz w:val="24"/>
        </w:rPr>
        <w:t xml:space="preserve"> se </w:t>
      </w:r>
      <w:proofErr w:type="spellStart"/>
      <w:r>
        <w:rPr>
          <w:rFonts w:ascii="Times New Roman" w:hAnsi="Times New Roman" w:cs="Times New Roman"/>
          <w:color w:val="000000"/>
          <w:sz w:val="24"/>
        </w:rPr>
        <w:t>rapportant</w:t>
      </w:r>
      <w:proofErr w:type="spellEnd"/>
      <w:r>
        <w:rPr>
          <w:rFonts w:ascii="Times New Roman" w:hAnsi="Times New Roman" w:cs="Times New Roman"/>
          <w:color w:val="000000"/>
          <w:sz w:val="24"/>
        </w:rPr>
        <w:t xml:space="preserve"> a SETARA </w:t>
      </w:r>
      <w:proofErr w:type="spellStart"/>
      <w:r>
        <w:rPr>
          <w:rFonts w:ascii="Times New Roman" w:hAnsi="Times New Roman" w:cs="Times New Roman"/>
          <w:color w:val="000000"/>
          <w:sz w:val="24"/>
        </w:rPr>
        <w:t>depuis</w:t>
      </w:r>
      <w:proofErr w:type="spellEnd"/>
      <w:r>
        <w:rPr>
          <w:rFonts w:ascii="Times New Roman" w:hAnsi="Times New Roman" w:cs="Times New Roman"/>
          <w:color w:val="000000"/>
          <w:sz w:val="24"/>
        </w:rPr>
        <w:t xml:space="preserve"> 2007</w:t>
      </w:r>
      <w:r w:rsidRPr="009A0BB9">
        <w:rPr>
          <w:rFonts w:ascii="Times New Roman" w:hAnsi="Times New Roman" w:cs="Times New Roman"/>
          <w:color w:val="000000"/>
          <w:sz w:val="24"/>
        </w:rPr>
        <w:t xml:space="preserve">-2016, </w:t>
      </w:r>
      <w:proofErr w:type="spellStart"/>
      <w:r w:rsidRPr="009A0BB9">
        <w:rPr>
          <w:rFonts w:ascii="Times New Roman" w:hAnsi="Times New Roman" w:cs="Times New Roman"/>
          <w:color w:val="000000"/>
          <w:sz w:val="24"/>
        </w:rPr>
        <w:t>était</w:t>
      </w:r>
      <w:proofErr w:type="spellEnd"/>
      <w:r w:rsidRPr="009A0BB9">
        <w:rPr>
          <w:rFonts w:ascii="Times New Roman" w:hAnsi="Times New Roman" w:cs="Times New Roman"/>
          <w:color w:val="000000"/>
          <w:sz w:val="24"/>
        </w:rPr>
        <w:t xml:space="preserve"> entre les mains des </w:t>
      </w:r>
      <w:proofErr w:type="spellStart"/>
      <w:r w:rsidRPr="009A0BB9">
        <w:rPr>
          <w:rFonts w:ascii="Times New Roman" w:hAnsi="Times New Roman" w:cs="Times New Roman"/>
          <w:color w:val="000000"/>
          <w:sz w:val="24"/>
        </w:rPr>
        <w:t>lecteu</w:t>
      </w:r>
      <w:r>
        <w:rPr>
          <w:rFonts w:ascii="Times New Roman" w:hAnsi="Times New Roman" w:cs="Times New Roman"/>
          <w:color w:val="000000"/>
          <w:sz w:val="24"/>
        </w:rPr>
        <w:t>rs</w:t>
      </w:r>
      <w:proofErr w:type="spellEnd"/>
      <w:r>
        <w:rPr>
          <w:rFonts w:ascii="Times New Roman" w:hAnsi="Times New Roman" w:cs="Times New Roman"/>
          <w:color w:val="000000"/>
          <w:sz w:val="24"/>
        </w:rPr>
        <w:t xml:space="preserve"> de </w:t>
      </w:r>
      <w:proofErr w:type="spellStart"/>
      <w:r>
        <w:rPr>
          <w:rFonts w:ascii="Times New Roman" w:hAnsi="Times New Roman" w:cs="Times New Roman"/>
          <w:color w:val="000000"/>
          <w:sz w:val="24"/>
        </w:rPr>
        <w:t>ce</w:t>
      </w:r>
      <w:proofErr w:type="spellEnd"/>
      <w:r>
        <w:rPr>
          <w:rFonts w:ascii="Times New Roman" w:hAnsi="Times New Roman" w:cs="Times New Roman"/>
          <w:color w:val="000000"/>
          <w:sz w:val="24"/>
        </w:rPr>
        <w:t xml:space="preserve"> rapport, les minorities </w:t>
      </w:r>
      <w:r w:rsidRPr="009A0BB9">
        <w:rPr>
          <w:rFonts w:ascii="Times New Roman" w:hAnsi="Times New Roman" w:cs="Times New Roman"/>
          <w:color w:val="000000"/>
          <w:sz w:val="24"/>
        </w:rPr>
        <w:t>con</w:t>
      </w:r>
      <w:r>
        <w:rPr>
          <w:rFonts w:ascii="Times New Roman" w:hAnsi="Times New Roman" w:cs="Times New Roman"/>
          <w:color w:val="000000"/>
          <w:sz w:val="24"/>
        </w:rPr>
        <w:t xml:space="preserve">stituent la plus </w:t>
      </w:r>
      <w:proofErr w:type="spellStart"/>
      <w:r>
        <w:rPr>
          <w:rFonts w:ascii="Times New Roman" w:hAnsi="Times New Roman" w:cs="Times New Roman"/>
          <w:color w:val="000000"/>
          <w:sz w:val="24"/>
        </w:rPr>
        <w:t>grande</w:t>
      </w:r>
      <w:proofErr w:type="spellEnd"/>
      <w:r>
        <w:rPr>
          <w:rFonts w:ascii="Times New Roman" w:hAnsi="Times New Roman" w:cs="Times New Roman"/>
          <w:color w:val="000000"/>
          <w:sz w:val="24"/>
        </w:rPr>
        <w:t xml:space="preserve"> victim </w:t>
      </w:r>
      <w:r w:rsidRPr="009A0BB9">
        <w:rPr>
          <w:rFonts w:ascii="Times New Roman" w:hAnsi="Times New Roman" w:cs="Times New Roman"/>
          <w:color w:val="000000"/>
          <w:sz w:val="24"/>
        </w:rPr>
        <w:t xml:space="preserve">des actions </w:t>
      </w:r>
      <w:r>
        <w:rPr>
          <w:rFonts w:ascii="Times New Roman" w:hAnsi="Times New Roman" w:cs="Times New Roman"/>
          <w:color w:val="000000"/>
          <w:sz w:val="24"/>
        </w:rPr>
        <w:t xml:space="preserve">et des </w:t>
      </w:r>
      <w:proofErr w:type="spellStart"/>
      <w:r>
        <w:rPr>
          <w:rFonts w:ascii="Times New Roman" w:hAnsi="Times New Roman" w:cs="Times New Roman"/>
          <w:color w:val="000000"/>
          <w:sz w:val="24"/>
        </w:rPr>
        <w:t>événements</w:t>
      </w:r>
      <w:proofErr w:type="spellEnd"/>
      <w:r>
        <w:rPr>
          <w:rFonts w:ascii="Times New Roman" w:hAnsi="Times New Roman" w:cs="Times New Roman"/>
          <w:color w:val="000000"/>
          <w:sz w:val="24"/>
        </w:rPr>
        <w:t xml:space="preserve"> de violations KBB au </w:t>
      </w:r>
      <w:proofErr w:type="spellStart"/>
      <w:r>
        <w:rPr>
          <w:rFonts w:ascii="Times New Roman" w:hAnsi="Times New Roman" w:cs="Times New Roman"/>
          <w:color w:val="000000"/>
          <w:sz w:val="24"/>
        </w:rPr>
        <w:t>fil</w:t>
      </w:r>
      <w:proofErr w:type="spellEnd"/>
      <w:r>
        <w:rPr>
          <w:rFonts w:ascii="Times New Roman" w:hAnsi="Times New Roman" w:cs="Times New Roman"/>
          <w:color w:val="000000"/>
          <w:sz w:val="24"/>
        </w:rPr>
        <w:t xml:space="preserve"> des ans. </w:t>
      </w:r>
      <w:r w:rsidRPr="009A0BB9">
        <w:rPr>
          <w:rFonts w:ascii="Times New Roman" w:hAnsi="Times New Roman" w:cs="Times New Roman"/>
          <w:color w:val="000000"/>
          <w:sz w:val="24"/>
        </w:rPr>
        <w:t xml:space="preserve">La condition de protection des </w:t>
      </w:r>
      <w:proofErr w:type="spellStart"/>
      <w:r w:rsidRPr="009A0BB9">
        <w:rPr>
          <w:rFonts w:ascii="Times New Roman" w:hAnsi="Times New Roman" w:cs="Times New Roman"/>
          <w:color w:val="000000"/>
          <w:sz w:val="24"/>
        </w:rPr>
        <w:t>droits</w:t>
      </w:r>
      <w:proofErr w:type="spellEnd"/>
      <w:r w:rsidRPr="009A0BB9">
        <w:rPr>
          <w:rFonts w:ascii="Times New Roman" w:hAnsi="Times New Roman" w:cs="Times New Roman"/>
          <w:color w:val="000000"/>
          <w:sz w:val="24"/>
        </w:rPr>
        <w:t xml:space="preserve"> des </w:t>
      </w:r>
      <w:proofErr w:type="spellStart"/>
      <w:r w:rsidRPr="009A0BB9">
        <w:rPr>
          <w:rFonts w:ascii="Times New Roman" w:hAnsi="Times New Roman" w:cs="Times New Roman"/>
          <w:color w:val="000000"/>
          <w:sz w:val="24"/>
        </w:rPr>
        <w:t>minorités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religieuses</w:t>
      </w:r>
      <w:proofErr w:type="spellEnd"/>
      <w:r w:rsidRPr="009A0BB9">
        <w:rPr>
          <w:rFonts w:ascii="Times New Roman" w:hAnsi="Times New Roman" w:cs="Times New Roman"/>
          <w:color w:val="000000"/>
          <w:sz w:val="24"/>
        </w:rPr>
        <w:t xml:space="preserve"> ne </w:t>
      </w:r>
      <w:proofErr w:type="spellStart"/>
      <w:r w:rsidRPr="009A0BB9">
        <w:rPr>
          <w:rFonts w:ascii="Times New Roman" w:hAnsi="Times New Roman" w:cs="Times New Roman"/>
          <w:color w:val="000000"/>
          <w:sz w:val="24"/>
        </w:rPr>
        <w:t>peut</w:t>
      </w:r>
      <w:proofErr w:type="spellEnd"/>
      <w:r w:rsidRPr="009A0BB9">
        <w:rPr>
          <w:rFonts w:ascii="Times New Roman" w:hAnsi="Times New Roman" w:cs="Times New Roman"/>
          <w:color w:val="000000"/>
          <w:sz w:val="24"/>
        </w:rPr>
        <w:t xml:space="preserve"> p</w:t>
      </w:r>
      <w:r>
        <w:rPr>
          <w:rFonts w:ascii="Times New Roman" w:hAnsi="Times New Roman" w:cs="Times New Roman"/>
          <w:color w:val="000000"/>
          <w:sz w:val="24"/>
        </w:rPr>
        <w:t xml:space="preserve">as </w:t>
      </w:r>
      <w:proofErr w:type="spellStart"/>
      <w:r>
        <w:rPr>
          <w:rFonts w:ascii="Times New Roman" w:hAnsi="Times New Roman" w:cs="Times New Roman"/>
          <w:color w:val="000000"/>
          <w:sz w:val="24"/>
        </w:rPr>
        <w:t>être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dénouer</w:t>
      </w:r>
      <w:proofErr w:type="spellEnd"/>
      <w:r>
        <w:rPr>
          <w:rFonts w:ascii="Times New Roman" w:hAnsi="Times New Roman" w:cs="Times New Roman"/>
          <w:color w:val="000000"/>
          <w:sz w:val="24"/>
        </w:rPr>
        <w:t xml:space="preserve"> de la condition </w:t>
      </w:r>
      <w:r w:rsidRPr="009A0BB9">
        <w:rPr>
          <w:rFonts w:ascii="Times New Roman" w:hAnsi="Times New Roman" w:cs="Times New Roman"/>
          <w:color w:val="000000"/>
          <w:sz w:val="24"/>
        </w:rPr>
        <w:t xml:space="preserve">de la </w:t>
      </w:r>
      <w:proofErr w:type="spellStart"/>
      <w:r w:rsidRPr="009A0BB9">
        <w:rPr>
          <w:rFonts w:ascii="Times New Roman" w:hAnsi="Times New Roman" w:cs="Times New Roman"/>
          <w:color w:val="000000"/>
          <w:sz w:val="24"/>
        </w:rPr>
        <w:t>liberté</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religieuse</w:t>
      </w:r>
      <w:proofErr w:type="spellEnd"/>
      <w:r w:rsidRPr="009A0BB9">
        <w:rPr>
          <w:rFonts w:ascii="Times New Roman" w:hAnsi="Times New Roman" w:cs="Times New Roman"/>
          <w:color w:val="000000"/>
          <w:sz w:val="24"/>
        </w:rPr>
        <w:t xml:space="preserve">. Attention, </w:t>
      </w:r>
      <w:proofErr w:type="spellStart"/>
      <w:r w:rsidRPr="009A0BB9">
        <w:rPr>
          <w:rFonts w:ascii="Times New Roman" w:hAnsi="Times New Roman" w:cs="Times New Roman"/>
          <w:color w:val="000000"/>
          <w:sz w:val="24"/>
        </w:rPr>
        <w:t>sur</w:t>
      </w:r>
      <w:proofErr w:type="spellEnd"/>
      <w:r w:rsidRPr="009A0BB9">
        <w:rPr>
          <w:rFonts w:ascii="Times New Roman" w:hAnsi="Times New Roman" w:cs="Times New Roman"/>
          <w:color w:val="000000"/>
          <w:sz w:val="24"/>
        </w:rPr>
        <w:t xml:space="preserve"> le respect des </w:t>
      </w:r>
      <w:proofErr w:type="spellStart"/>
      <w:r w:rsidRPr="009A0BB9">
        <w:rPr>
          <w:rFonts w:ascii="Times New Roman" w:hAnsi="Times New Roman" w:cs="Times New Roman"/>
          <w:color w:val="000000"/>
          <w:sz w:val="24"/>
        </w:rPr>
        <w:t>droits</w:t>
      </w:r>
      <w:proofErr w:type="spellEnd"/>
      <w:r w:rsidRPr="009A0BB9">
        <w:rPr>
          <w:rFonts w:ascii="Times New Roman" w:hAnsi="Times New Roman" w:cs="Times New Roman"/>
          <w:color w:val="000000"/>
          <w:sz w:val="24"/>
        </w:rPr>
        <w:t xml:space="preserve"> des </w:t>
      </w:r>
      <w:proofErr w:type="spellStart"/>
      <w:r w:rsidRPr="009A0BB9">
        <w:rPr>
          <w:rFonts w:ascii="Times New Roman" w:hAnsi="Times New Roman" w:cs="Times New Roman"/>
          <w:color w:val="000000"/>
          <w:sz w:val="24"/>
        </w:rPr>
        <w:t>minorités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r</w:t>
      </w:r>
      <w:r>
        <w:rPr>
          <w:rFonts w:ascii="Times New Roman" w:hAnsi="Times New Roman" w:cs="Times New Roman"/>
          <w:color w:val="000000"/>
          <w:sz w:val="24"/>
        </w:rPr>
        <w:t>eligieuses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sont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dans</w:t>
      </w:r>
      <w:proofErr w:type="spell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un</w:t>
      </w:r>
      <w:proofErr w:type="gramEnd"/>
      <w:r>
        <w:rPr>
          <w:rFonts w:ascii="Times New Roman" w:hAnsi="Times New Roman" w:cs="Times New Roman"/>
          <w:color w:val="000000"/>
          <w:sz w:val="24"/>
        </w:rPr>
        <w:t xml:space="preserve"> soufflé </w:t>
      </w:r>
      <w:r w:rsidRPr="009A0BB9">
        <w:rPr>
          <w:rFonts w:ascii="Times New Roman" w:hAnsi="Times New Roman" w:cs="Times New Roman"/>
          <w:color w:val="000000"/>
          <w:sz w:val="24"/>
        </w:rPr>
        <w:t>avec le</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droit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fondamental</w:t>
      </w:r>
      <w:proofErr w:type="spellEnd"/>
      <w:r>
        <w:rPr>
          <w:rFonts w:ascii="Times New Roman" w:hAnsi="Times New Roman" w:cs="Times New Roman"/>
          <w:color w:val="000000"/>
          <w:sz w:val="24"/>
        </w:rPr>
        <w:t xml:space="preserve"> à la </w:t>
      </w:r>
      <w:proofErr w:type="spellStart"/>
      <w:r>
        <w:rPr>
          <w:rFonts w:ascii="Times New Roman" w:hAnsi="Times New Roman" w:cs="Times New Roman"/>
          <w:color w:val="000000"/>
          <w:sz w:val="24"/>
        </w:rPr>
        <w:t>liberté</w:t>
      </w:r>
      <w:proofErr w:type="spellEnd"/>
      <w:r>
        <w:rPr>
          <w:rFonts w:ascii="Times New Roman" w:hAnsi="Times New Roman" w:cs="Times New Roman"/>
          <w:color w:val="000000"/>
          <w:sz w:val="24"/>
        </w:rPr>
        <w:t xml:space="preserve"> </w:t>
      </w:r>
      <w:r w:rsidRPr="009A0BB9">
        <w:rPr>
          <w:rFonts w:ascii="Times New Roman" w:hAnsi="Times New Roman" w:cs="Times New Roman"/>
          <w:color w:val="000000"/>
          <w:sz w:val="24"/>
        </w:rPr>
        <w:t xml:space="preserve">de religion / </w:t>
      </w:r>
      <w:proofErr w:type="spellStart"/>
      <w:r w:rsidRPr="009A0BB9">
        <w:rPr>
          <w:rFonts w:ascii="Times New Roman" w:hAnsi="Times New Roman" w:cs="Times New Roman"/>
          <w:color w:val="000000"/>
          <w:sz w:val="24"/>
        </w:rPr>
        <w:t>croyance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Relation</w:t>
      </w:r>
      <w:r>
        <w:rPr>
          <w:rFonts w:ascii="Times New Roman" w:hAnsi="Times New Roman" w:cs="Times New Roman"/>
          <w:color w:val="000000"/>
          <w:sz w:val="24"/>
        </w:rPr>
        <w:t>nelle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ment</w:t>
      </w:r>
      <w:proofErr w:type="spellEnd"/>
      <w:r>
        <w:rPr>
          <w:rFonts w:ascii="Times New Roman" w:hAnsi="Times New Roman" w:cs="Times New Roman"/>
          <w:color w:val="000000"/>
          <w:sz w:val="24"/>
        </w:rPr>
        <w:t xml:space="preserve">, KBB </w:t>
      </w:r>
      <w:proofErr w:type="spellStart"/>
      <w:r>
        <w:rPr>
          <w:rFonts w:ascii="Times New Roman" w:hAnsi="Times New Roman" w:cs="Times New Roman"/>
          <w:color w:val="000000"/>
          <w:sz w:val="24"/>
        </w:rPr>
        <w:t>chevauche</w:t>
      </w:r>
      <w:proofErr w:type="spellEnd"/>
      <w:r>
        <w:rPr>
          <w:rFonts w:ascii="Times New Roman" w:hAnsi="Times New Roman" w:cs="Times New Roman"/>
          <w:color w:val="000000"/>
          <w:sz w:val="24"/>
        </w:rPr>
        <w:t xml:space="preserve"> </w:t>
      </w:r>
      <w:proofErr w:type="spellStart"/>
      <w:proofErr w:type="gramStart"/>
      <w:r>
        <w:rPr>
          <w:rFonts w:ascii="Times New Roman" w:hAnsi="Times New Roman" w:cs="Times New Roman"/>
          <w:color w:val="000000"/>
          <w:sz w:val="24"/>
        </w:rPr>
        <w:t>celle</w:t>
      </w:r>
      <w:proofErr w:type="spellEnd"/>
      <w:proofErr w:type="gram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dans</w:t>
      </w:r>
      <w:proofErr w:type="spellEnd"/>
      <w:r>
        <w:rPr>
          <w:rFonts w:ascii="Times New Roman" w:hAnsi="Times New Roman" w:cs="Times New Roman"/>
          <w:color w:val="000000"/>
          <w:sz w:val="24"/>
        </w:rPr>
        <w:t xml:space="preserve"> les </w:t>
      </w:r>
      <w:proofErr w:type="spellStart"/>
      <w:r>
        <w:rPr>
          <w:rFonts w:ascii="Times New Roman" w:hAnsi="Times New Roman" w:cs="Times New Roman"/>
          <w:color w:val="000000"/>
          <w:sz w:val="24"/>
        </w:rPr>
        <w:t>différents</w:t>
      </w:r>
      <w:proofErr w:type="spellEnd"/>
      <w:r>
        <w:rPr>
          <w:rFonts w:ascii="Times New Roman" w:hAnsi="Times New Roman" w:cs="Times New Roman"/>
          <w:color w:val="000000"/>
          <w:sz w:val="24"/>
        </w:rPr>
        <w:t xml:space="preserve"> </w:t>
      </w:r>
      <w:r w:rsidRPr="009A0BB9">
        <w:rPr>
          <w:rFonts w:ascii="Times New Roman" w:hAnsi="Times New Roman" w:cs="Times New Roman"/>
          <w:color w:val="000000"/>
          <w:sz w:val="24"/>
        </w:rPr>
        <w:t xml:space="preserve">instruments </w:t>
      </w:r>
      <w:proofErr w:type="spellStart"/>
      <w:r w:rsidRPr="009A0BB9">
        <w:rPr>
          <w:rFonts w:ascii="Times New Roman" w:hAnsi="Times New Roman" w:cs="Times New Roman"/>
          <w:color w:val="000000"/>
          <w:sz w:val="24"/>
        </w:rPr>
        <w:t>relatifs</w:t>
      </w:r>
      <w:proofErr w:type="spellEnd"/>
      <w:r w:rsidRPr="009A0BB9">
        <w:rPr>
          <w:rFonts w:ascii="Times New Roman" w:hAnsi="Times New Roman" w:cs="Times New Roman"/>
          <w:color w:val="000000"/>
          <w:sz w:val="24"/>
        </w:rPr>
        <w:t xml:space="preserve"> aux </w:t>
      </w:r>
      <w:proofErr w:type="spellStart"/>
      <w:r w:rsidRPr="009A0BB9">
        <w:rPr>
          <w:rFonts w:ascii="Times New Roman" w:hAnsi="Times New Roman" w:cs="Times New Roman"/>
          <w:color w:val="000000"/>
          <w:sz w:val="24"/>
        </w:rPr>
        <w:t>droits</w:t>
      </w:r>
      <w:proofErr w:type="spellEnd"/>
      <w:r w:rsidRPr="009A0BB9">
        <w:rPr>
          <w:rFonts w:ascii="Times New Roman" w:hAnsi="Times New Roman" w:cs="Times New Roman"/>
          <w:color w:val="000000"/>
          <w:sz w:val="24"/>
        </w:rPr>
        <w:t xml:space="preserve"> de </w:t>
      </w:r>
      <w:proofErr w:type="spellStart"/>
      <w:r w:rsidRPr="009A0BB9">
        <w:rPr>
          <w:rFonts w:ascii="Times New Roman" w:hAnsi="Times New Roman" w:cs="Times New Roman"/>
          <w:color w:val="000000"/>
          <w:sz w:val="24"/>
        </w:rPr>
        <w:t>l'homme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ont</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reçu</w:t>
      </w:r>
      <w:proofErr w:type="spellEnd"/>
      <w:r w:rsidRPr="009A0BB9">
        <w:rPr>
          <w:rFonts w:ascii="Times New Roman" w:hAnsi="Times New Roman" w:cs="Times New Roman"/>
          <w:color w:val="000000"/>
          <w:sz w:val="24"/>
        </w:rPr>
        <w:t xml:space="preserve"> des </w:t>
      </w:r>
      <w:proofErr w:type="spellStart"/>
      <w:r w:rsidRPr="009A0BB9">
        <w:rPr>
          <w:rFonts w:ascii="Times New Roman" w:hAnsi="Times New Roman" w:cs="Times New Roman"/>
          <w:color w:val="000000"/>
          <w:sz w:val="24"/>
        </w:rPr>
        <w:t>garanties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suffisantes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que</w:t>
      </w:r>
      <w:proofErr w:type="spellEnd"/>
      <w:r w:rsidRPr="009A0BB9">
        <w:rPr>
          <w:rFonts w:ascii="Times New Roman" w:hAnsi="Times New Roman" w:cs="Times New Roman"/>
          <w:color w:val="000000"/>
          <w:sz w:val="24"/>
        </w:rPr>
        <w:t xml:space="preserve"> les</w:t>
      </w:r>
      <w:r w:rsidRPr="009A0BB9">
        <w:rPr>
          <w:rFonts w:ascii="Times New Roman" w:hAnsi="Times New Roman" w:cs="Times New Roman"/>
          <w:color w:val="000000"/>
          <w:sz w:val="24"/>
        </w:rPr>
        <w:br/>
      </w:r>
      <w:proofErr w:type="spellStart"/>
      <w:r w:rsidRPr="009A0BB9">
        <w:rPr>
          <w:rFonts w:ascii="Times New Roman" w:hAnsi="Times New Roman" w:cs="Times New Roman"/>
          <w:color w:val="000000"/>
          <w:sz w:val="24"/>
        </w:rPr>
        <w:t>droits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individuels</w:t>
      </w:r>
      <w:proofErr w:type="spellEnd"/>
      <w:r w:rsidRPr="009A0BB9">
        <w:rPr>
          <w:rFonts w:ascii="Times New Roman" w:hAnsi="Times New Roman" w:cs="Times New Roman"/>
          <w:color w:val="000000"/>
          <w:sz w:val="24"/>
        </w:rPr>
        <w:t>.</w:t>
      </w:r>
      <w:r>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Pratiquement</w:t>
      </w:r>
      <w:proofErr w:type="spellEnd"/>
      <w:r w:rsidRPr="009A0BB9">
        <w:rPr>
          <w:rFonts w:ascii="Times New Roman" w:hAnsi="Times New Roman" w:cs="Times New Roman"/>
          <w:color w:val="000000"/>
          <w:sz w:val="24"/>
        </w:rPr>
        <w:t xml:space="preserve">, la KBB </w:t>
      </w:r>
      <w:proofErr w:type="spellStart"/>
      <w:r w:rsidRPr="009A0BB9">
        <w:rPr>
          <w:rFonts w:ascii="Times New Roman" w:hAnsi="Times New Roman" w:cs="Times New Roman"/>
          <w:color w:val="000000"/>
          <w:sz w:val="24"/>
        </w:rPr>
        <w:t>doit</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être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considéré</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comme</w:t>
      </w:r>
      <w:proofErr w:type="spellEnd"/>
      <w:r w:rsidRPr="009A0BB9">
        <w:rPr>
          <w:rFonts w:ascii="Times New Roman" w:hAnsi="Times New Roman" w:cs="Times New Roman"/>
          <w:color w:val="000000"/>
          <w:sz w:val="24"/>
        </w:rPr>
        <w:t xml:space="preserve"> </w:t>
      </w:r>
      <w:proofErr w:type="gramStart"/>
      <w:r w:rsidRPr="009A0BB9">
        <w:rPr>
          <w:rFonts w:ascii="Times New Roman" w:hAnsi="Times New Roman" w:cs="Times New Roman"/>
          <w:color w:val="000000"/>
          <w:sz w:val="24"/>
        </w:rPr>
        <w:t>un</w:t>
      </w:r>
      <w:proofErr w:type="gram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droit</w:t>
      </w:r>
      <w:proofErr w:type="spellEnd"/>
      <w:r w:rsidRPr="009A0BB9">
        <w:rPr>
          <w:rFonts w:ascii="Times New Roman" w:hAnsi="Times New Roman" w:cs="Times New Roman"/>
          <w:color w:val="000000"/>
          <w:sz w:val="24"/>
        </w:rPr>
        <w:t xml:space="preserve"> </w:t>
      </w:r>
      <w:r>
        <w:rPr>
          <w:rFonts w:ascii="Times New Roman" w:hAnsi="Times New Roman" w:cs="Times New Roman"/>
          <w:color w:val="000000"/>
          <w:sz w:val="24"/>
        </w:rPr>
        <w:t xml:space="preserve">individual </w:t>
      </w:r>
      <w:r w:rsidRPr="009A0BB9">
        <w:rPr>
          <w:rFonts w:ascii="Times New Roman" w:hAnsi="Times New Roman" w:cs="Times New Roman"/>
          <w:color w:val="000000"/>
          <w:sz w:val="24"/>
        </w:rPr>
        <w:t xml:space="preserve">qui </w:t>
      </w:r>
      <w:r>
        <w:rPr>
          <w:rFonts w:ascii="Times New Roman" w:hAnsi="Times New Roman" w:cs="Times New Roman"/>
          <w:color w:val="000000"/>
          <w:sz w:val="24"/>
        </w:rPr>
        <w:t xml:space="preserve">ne </w:t>
      </w:r>
      <w:proofErr w:type="spellStart"/>
      <w:r>
        <w:rPr>
          <w:rFonts w:ascii="Times New Roman" w:hAnsi="Times New Roman" w:cs="Times New Roman"/>
          <w:color w:val="000000"/>
          <w:sz w:val="24"/>
        </w:rPr>
        <w:t>peut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être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réduite</w:t>
      </w:r>
      <w:proofErr w:type="spellEnd"/>
      <w:r>
        <w:rPr>
          <w:rFonts w:ascii="Times New Roman" w:hAnsi="Times New Roman" w:cs="Times New Roman"/>
          <w:color w:val="000000"/>
          <w:sz w:val="24"/>
        </w:rPr>
        <w:t xml:space="preserve"> et ne </w:t>
      </w:r>
      <w:proofErr w:type="spellStart"/>
      <w:r>
        <w:rPr>
          <w:rFonts w:ascii="Times New Roman" w:hAnsi="Times New Roman" w:cs="Times New Roman"/>
          <w:color w:val="000000"/>
          <w:sz w:val="24"/>
        </w:rPr>
        <w:t>peut</w:t>
      </w:r>
      <w:proofErr w:type="spellEnd"/>
      <w:r>
        <w:rPr>
          <w:rFonts w:ascii="Times New Roman" w:hAnsi="Times New Roman" w:cs="Times New Roman"/>
          <w:color w:val="000000"/>
          <w:sz w:val="24"/>
        </w:rPr>
        <w:t xml:space="preserve"> </w:t>
      </w:r>
      <w:r w:rsidRPr="009A0BB9">
        <w:rPr>
          <w:rFonts w:ascii="Times New Roman" w:hAnsi="Times New Roman" w:cs="Times New Roman"/>
          <w:color w:val="000000"/>
          <w:sz w:val="24"/>
        </w:rPr>
        <w:t xml:space="preserve">pas </w:t>
      </w:r>
      <w:proofErr w:type="spellStart"/>
      <w:r w:rsidRPr="009A0BB9">
        <w:rPr>
          <w:rFonts w:ascii="Times New Roman" w:hAnsi="Times New Roman" w:cs="Times New Roman"/>
          <w:color w:val="000000"/>
          <w:sz w:val="24"/>
        </w:rPr>
        <w:t>être</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retardé</w:t>
      </w:r>
      <w:proofErr w:type="spellEnd"/>
      <w:r w:rsidRPr="009A0BB9">
        <w:rPr>
          <w:rFonts w:ascii="Times New Roman" w:hAnsi="Times New Roman" w:cs="Times New Roman"/>
          <w:color w:val="000000"/>
          <w:sz w:val="24"/>
        </w:rPr>
        <w:t xml:space="preserve"> aux </w:t>
      </w:r>
      <w:proofErr w:type="spellStart"/>
      <w:r w:rsidRPr="009A0BB9">
        <w:rPr>
          <w:rFonts w:ascii="Times New Roman" w:hAnsi="Times New Roman" w:cs="Times New Roman"/>
          <w:color w:val="000000"/>
          <w:sz w:val="24"/>
        </w:rPr>
        <w:t>commandes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droits</w:t>
      </w:r>
      <w:proofErr w:type="spellEnd"/>
      <w:r w:rsidRPr="009A0BB9">
        <w:rPr>
          <w:rFonts w:ascii="Times New Roman" w:hAnsi="Times New Roman" w:cs="Times New Roman"/>
          <w:color w:val="000000"/>
          <w:sz w:val="24"/>
        </w:rPr>
        <w:t xml:space="preserve"> </w:t>
      </w:r>
      <w:proofErr w:type="spellStart"/>
      <w:r w:rsidRPr="009A0BB9">
        <w:rPr>
          <w:rFonts w:ascii="Times New Roman" w:hAnsi="Times New Roman" w:cs="Times New Roman"/>
          <w:color w:val="000000"/>
          <w:sz w:val="24"/>
        </w:rPr>
        <w:t>imprescriptibles</w:t>
      </w:r>
      <w:proofErr w:type="spellEnd"/>
      <w:r w:rsidRPr="009A0BB9">
        <w:rPr>
          <w:rFonts w:ascii="Times New Roman" w:hAnsi="Times New Roman" w:cs="Times New Roman"/>
          <w:color w:val="000000"/>
          <w:sz w:val="24"/>
        </w:rPr>
        <w:t>).</w:t>
      </w:r>
    </w:p>
    <w:sectPr w:rsidR="009A0BB9" w:rsidRPr="009A0B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43" w:rsidRDefault="00642343" w:rsidP="009E0B2B">
      <w:pPr>
        <w:spacing w:after="0" w:line="240" w:lineRule="auto"/>
      </w:pPr>
      <w:r>
        <w:separator/>
      </w:r>
    </w:p>
  </w:endnote>
  <w:endnote w:type="continuationSeparator" w:id="0">
    <w:p w:rsidR="00642343" w:rsidRDefault="00642343" w:rsidP="009E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43" w:rsidRDefault="00642343" w:rsidP="009E0B2B">
      <w:pPr>
        <w:spacing w:after="0" w:line="240" w:lineRule="auto"/>
      </w:pPr>
      <w:r>
        <w:separator/>
      </w:r>
    </w:p>
  </w:footnote>
  <w:footnote w:type="continuationSeparator" w:id="0">
    <w:p w:rsidR="00642343" w:rsidRDefault="00642343" w:rsidP="009E0B2B">
      <w:pPr>
        <w:spacing w:after="0" w:line="240" w:lineRule="auto"/>
      </w:pPr>
      <w:r>
        <w:continuationSeparator/>
      </w:r>
    </w:p>
  </w:footnote>
  <w:footnote w:id="1">
    <w:p w:rsidR="009E0B2B" w:rsidRPr="007222FB" w:rsidRDefault="009E0B2B" w:rsidP="009E0B2B">
      <w:pPr>
        <w:pStyle w:val="FootnoteText"/>
        <w:spacing w:after="60"/>
        <w:ind w:firstLine="567"/>
        <w:jc w:val="both"/>
        <w:rPr>
          <w:sz w:val="18"/>
          <w:szCs w:val="18"/>
        </w:rPr>
      </w:pPr>
      <w:r w:rsidRPr="007222FB">
        <w:rPr>
          <w:rStyle w:val="FootnoteReference"/>
          <w:sz w:val="18"/>
          <w:szCs w:val="18"/>
        </w:rPr>
        <w:footnoteRef/>
      </w:r>
      <w:proofErr w:type="spellStart"/>
      <w:r w:rsidRPr="007222FB">
        <w:rPr>
          <w:sz w:val="18"/>
          <w:szCs w:val="18"/>
        </w:rPr>
        <w:t>Beetham</w:t>
      </w:r>
      <w:proofErr w:type="spellEnd"/>
      <w:r w:rsidRPr="007222FB">
        <w:rPr>
          <w:sz w:val="18"/>
          <w:szCs w:val="18"/>
        </w:rPr>
        <w:t xml:space="preserve">, David. </w:t>
      </w:r>
      <w:r w:rsidRPr="007222FB">
        <w:rPr>
          <w:i/>
          <w:sz w:val="18"/>
          <w:szCs w:val="18"/>
        </w:rPr>
        <w:t xml:space="preserve">Democracy and Human Rights </w:t>
      </w:r>
      <w:r w:rsidRPr="007222FB">
        <w:rPr>
          <w:sz w:val="18"/>
          <w:szCs w:val="18"/>
        </w:rPr>
        <w:t>(Cambridge and Malden: Polity Press, 2000)</w:t>
      </w:r>
      <w:r w:rsidRPr="007222FB">
        <w:rPr>
          <w:i/>
          <w:sz w:val="18"/>
          <w:szCs w:val="18"/>
        </w:rPr>
        <w:t xml:space="preserve">, </w:t>
      </w:r>
      <w:proofErr w:type="spellStart"/>
      <w:r w:rsidRPr="007222FB">
        <w:rPr>
          <w:sz w:val="18"/>
          <w:szCs w:val="18"/>
        </w:rPr>
        <w:t>hlm</w:t>
      </w:r>
      <w:proofErr w:type="spellEnd"/>
      <w:r w:rsidRPr="007222FB">
        <w:rPr>
          <w:sz w:val="18"/>
          <w:szCs w:val="18"/>
        </w:rPr>
        <w:t>. 93.</w:t>
      </w:r>
      <w:r w:rsidRPr="007222FB">
        <w:rPr>
          <w: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361C"/>
    <w:multiLevelType w:val="hybridMultilevel"/>
    <w:tmpl w:val="3102A72E"/>
    <w:lvl w:ilvl="0" w:tplc="0409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63F92484"/>
    <w:multiLevelType w:val="hybridMultilevel"/>
    <w:tmpl w:val="99168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2B"/>
    <w:rsid w:val="0002280A"/>
    <w:rsid w:val="00642343"/>
    <w:rsid w:val="0072700D"/>
    <w:rsid w:val="00810D4A"/>
    <w:rsid w:val="009A0BB9"/>
    <w:rsid w:val="009E0B2B"/>
    <w:rsid w:val="00DD75DB"/>
    <w:rsid w:val="00EE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 Text Char1 Char"/>
    <w:basedOn w:val="Normal"/>
    <w:link w:val="FootnoteTextChar"/>
    <w:uiPriority w:val="99"/>
    <w:rsid w:val="009E0B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9E0B2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E0B2B"/>
    <w:rPr>
      <w:vertAlign w:val="superscript"/>
    </w:rPr>
  </w:style>
  <w:style w:type="paragraph" w:styleId="ListParagraph">
    <w:name w:val="List Paragraph"/>
    <w:basedOn w:val="Normal"/>
    <w:uiPriority w:val="34"/>
    <w:qFormat/>
    <w:rsid w:val="009E0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 Text Char1 Char"/>
    <w:basedOn w:val="Normal"/>
    <w:link w:val="FootnoteTextChar"/>
    <w:uiPriority w:val="99"/>
    <w:rsid w:val="009E0B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9E0B2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E0B2B"/>
    <w:rPr>
      <w:vertAlign w:val="superscript"/>
    </w:rPr>
  </w:style>
  <w:style w:type="paragraph" w:styleId="ListParagraph">
    <w:name w:val="List Paragraph"/>
    <w:basedOn w:val="Normal"/>
    <w:uiPriority w:val="34"/>
    <w:qFormat/>
    <w:rsid w:val="009E0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ILP CNR 1</dc:creator>
  <cp:lastModifiedBy>ILP CNR 1</cp:lastModifiedBy>
  <cp:revision>3</cp:revision>
  <dcterms:created xsi:type="dcterms:W3CDTF">2017-04-07T10:47:00Z</dcterms:created>
  <dcterms:modified xsi:type="dcterms:W3CDTF">2017-04-07T10:48:00Z</dcterms:modified>
</cp:coreProperties>
</file>